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635" w:type="dxa"/>
        <w:tblLook w:val="04A0" w:firstRow="1" w:lastRow="0" w:firstColumn="1" w:lastColumn="0" w:noHBand="0" w:noVBand="1"/>
      </w:tblPr>
      <w:tblGrid>
        <w:gridCol w:w="5140"/>
        <w:gridCol w:w="5390"/>
      </w:tblGrid>
      <w:tr w:rsidR="00AA304F" w:rsidRPr="00AA304F" w14:paraId="27030DEB" w14:textId="77777777" w:rsidTr="00AA304F">
        <w:tc>
          <w:tcPr>
            <w:tcW w:w="5140" w:type="dxa"/>
          </w:tcPr>
          <w:p w14:paraId="2981EF52" w14:textId="145D9C62" w:rsidR="00AA304F" w:rsidRPr="00AA304F" w:rsidRDefault="00AA304F">
            <w:pPr>
              <w:rPr>
                <w:rFonts w:ascii="dearJoe 5 CASUAL PRO" w:hAnsi="dearJoe 5 CASUAL PRO"/>
              </w:rPr>
            </w:pPr>
            <w:r w:rsidRPr="00AA304F">
              <w:rPr>
                <w:rFonts w:ascii="dearJoe 5 CASUAL PRO" w:hAnsi="dearJoe 5 CASUAL PRO"/>
              </w:rPr>
              <w:t>News story</w:t>
            </w:r>
          </w:p>
          <w:p w14:paraId="7FC8C002" w14:textId="516C7EB9" w:rsidR="00AA304F" w:rsidRDefault="00C758B5">
            <w:pPr>
              <w:rPr>
                <w:rFonts w:ascii="dearJoe 5 CASUAL PRO" w:hAnsi="dearJoe 5 CASUAL PRO"/>
              </w:rPr>
            </w:pPr>
            <w:r>
              <w:rPr>
                <w:rFonts w:ascii="dearJoe 5 CASUAL PRO" w:hAnsi="dearJoe 5 CASUAL PRO"/>
                <w:noProof/>
              </w:rPr>
              <mc:AlternateContent>
                <mc:Choice Requires="wps">
                  <w:drawing>
                    <wp:anchor distT="0" distB="0" distL="114300" distR="114300" simplePos="0" relativeHeight="251659264" behindDoc="0" locked="0" layoutInCell="1" allowOverlap="1" wp14:anchorId="4A4656CC" wp14:editId="74257CDC">
                      <wp:simplePos x="0" y="0"/>
                      <wp:positionH relativeFrom="column">
                        <wp:posOffset>10457</wp:posOffset>
                      </wp:positionH>
                      <wp:positionV relativeFrom="paragraph">
                        <wp:posOffset>27035</wp:posOffset>
                      </wp:positionV>
                      <wp:extent cx="3064213" cy="1177047"/>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064213" cy="1177047"/>
                              </a:xfrm>
                              <a:prstGeom prst="rect">
                                <a:avLst/>
                              </a:prstGeom>
                              <a:solidFill>
                                <a:schemeClr val="lt1"/>
                              </a:solidFill>
                              <a:ln w="6350">
                                <a:noFill/>
                              </a:ln>
                            </wps:spPr>
                            <wps:txbx>
                              <w:txbxContent>
                                <w:p w14:paraId="123D986E" w14:textId="4C1EB904" w:rsidR="00C758B5" w:rsidRDefault="00C758B5">
                                  <w:r>
                                    <w:rPr>
                                      <w:noProof/>
                                    </w:rPr>
                                    <w:drawing>
                                      <wp:inline distT="0" distB="0" distL="0" distR="0" wp14:anchorId="51AC9A5B" wp14:editId="197839D8">
                                        <wp:extent cx="1917700" cy="1078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21-eve-flinthearing-reynolds.jpg"/>
                                                <pic:cNvPicPr/>
                                              </pic:nvPicPr>
                                              <pic:blipFill>
                                                <a:blip r:embed="rId6">
                                                  <a:extLst>
                                                    <a:ext uri="{28A0092B-C50C-407E-A947-70E740481C1C}">
                                                      <a14:useLocalDpi xmlns:a14="http://schemas.microsoft.com/office/drawing/2010/main" val="0"/>
                                                    </a:ext>
                                                  </a:extLst>
                                                </a:blip>
                                                <a:stretch>
                                                  <a:fillRect/>
                                                </a:stretch>
                                              </pic:blipFill>
                                              <pic:spPr>
                                                <a:xfrm>
                                                  <a:off x="0" y="0"/>
                                                  <a:ext cx="1917700" cy="1078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4656CC" id="_x0000_t202" coordsize="21600,21600" o:spt="202" path="m,l,21600r21600,l21600,xe">
                      <v:stroke joinstyle="miter"/>
                      <v:path gradientshapeok="t" o:connecttype="rect"/>
                    </v:shapetype>
                    <v:shape id="Text Box 1" o:spid="_x0000_s1026" type="#_x0000_t202" style="position:absolute;margin-left:.8pt;margin-top:2.15pt;width:241.3pt;height:9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" fillcolor="white [3201]" stroked="f" strokeweight=".5pt">
                      <v:textbox>
                        <w:txbxContent>
                          <w:p w14:paraId="123D986E" w14:textId="4C1EB904" w:rsidR="00C758B5" w:rsidRDefault="00C758B5">
                            <w:r>
                              <w:rPr>
                                <w:noProof/>
                              </w:rPr>
                              <w:drawing>
                                <wp:inline distT="0" distB="0" distL="0" distR="0" wp14:anchorId="51AC9A5B" wp14:editId="197839D8">
                                  <wp:extent cx="1917700" cy="1078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21-eve-flinthearing-reynolds.jpg"/>
                                          <pic:cNvPicPr/>
                                        </pic:nvPicPr>
                                        <pic:blipFill>
                                          <a:blip r:embed="rId6">
                                            <a:extLst>
                                              <a:ext uri="{28A0092B-C50C-407E-A947-70E740481C1C}">
                                                <a14:useLocalDpi xmlns:a14="http://schemas.microsoft.com/office/drawing/2010/main" val="0"/>
                                              </a:ext>
                                            </a:extLst>
                                          </a:blip>
                                          <a:stretch>
                                            <a:fillRect/>
                                          </a:stretch>
                                        </pic:blipFill>
                                        <pic:spPr>
                                          <a:xfrm>
                                            <a:off x="0" y="0"/>
                                            <a:ext cx="1917700" cy="1078865"/>
                                          </a:xfrm>
                                          <a:prstGeom prst="rect">
                                            <a:avLst/>
                                          </a:prstGeom>
                                        </pic:spPr>
                                      </pic:pic>
                                    </a:graphicData>
                                  </a:graphic>
                                </wp:inline>
                              </w:drawing>
                            </w:r>
                          </w:p>
                        </w:txbxContent>
                      </v:textbox>
                    </v:shape>
                  </w:pict>
                </mc:Fallback>
              </mc:AlternateContent>
            </w:r>
          </w:p>
          <w:p w14:paraId="74548B03" w14:textId="6A65F12A" w:rsidR="00AA304F" w:rsidRDefault="00AA304F">
            <w:pPr>
              <w:rPr>
                <w:rFonts w:ascii="dearJoe 5 CASUAL PRO" w:hAnsi="dearJoe 5 CASUAL PRO"/>
              </w:rPr>
            </w:pPr>
          </w:p>
          <w:p w14:paraId="63E1DADB" w14:textId="6A95F466" w:rsidR="00AA304F" w:rsidRDefault="00AA304F">
            <w:pPr>
              <w:rPr>
                <w:rFonts w:ascii="dearJoe 5 CASUAL PRO" w:hAnsi="dearJoe 5 CASUAL PRO"/>
              </w:rPr>
            </w:pPr>
          </w:p>
          <w:p w14:paraId="15CDDC07" w14:textId="157EAC65" w:rsidR="00AA304F" w:rsidRDefault="00AA304F">
            <w:pPr>
              <w:rPr>
                <w:rFonts w:ascii="dearJoe 5 CASUAL PRO" w:hAnsi="dearJoe 5 CASUAL PRO"/>
              </w:rPr>
            </w:pPr>
          </w:p>
          <w:p w14:paraId="37A86CD8" w14:textId="77777777" w:rsidR="00AA304F" w:rsidRDefault="00AA304F">
            <w:pPr>
              <w:rPr>
                <w:rFonts w:ascii="dearJoe 5 CASUAL PRO" w:hAnsi="dearJoe 5 CASUAL PRO"/>
              </w:rPr>
            </w:pPr>
          </w:p>
          <w:p w14:paraId="445CAE2F" w14:textId="0AE1ABAE" w:rsidR="00AA304F" w:rsidRPr="00AA304F" w:rsidRDefault="00AA304F" w:rsidP="00AA304F">
            <w:pPr>
              <w:rPr>
                <w:rFonts w:ascii="Helvetica Neue" w:hAnsi="Helvetica Neue"/>
                <w:color w:val="262626"/>
                <w:sz w:val="18"/>
                <w:szCs w:val="18"/>
              </w:rPr>
            </w:pPr>
            <w:r w:rsidRPr="00AA304F">
              <w:rPr>
                <w:rFonts w:ascii="Helvetica Neue" w:hAnsi="Helvetica Neue"/>
                <w:color w:val="262626"/>
                <w:sz w:val="18"/>
                <w:szCs w:val="18"/>
              </w:rPr>
              <w:t>Flint once thrived as the home of the nation's largest General Motors plant. The city's economic decline began during the 1980s, when</w:t>
            </w:r>
            <w:r w:rsidRPr="00AA304F">
              <w:rPr>
                <w:rStyle w:val="apple-converted-space"/>
                <w:rFonts w:ascii="Helvetica Neue" w:hAnsi="Helvetica Neue"/>
                <w:color w:val="262626"/>
                <w:sz w:val="18"/>
                <w:szCs w:val="18"/>
              </w:rPr>
              <w:t> </w:t>
            </w:r>
            <w:hyperlink r:id="rId7" w:history="1">
              <w:r w:rsidRPr="00AA304F">
                <w:rPr>
                  <w:rStyle w:val="Hyperlink"/>
                  <w:rFonts w:ascii="Helvetica Neue" w:hAnsi="Helvetica Neue"/>
                  <w:color w:val="006598"/>
                  <w:sz w:val="18"/>
                  <w:szCs w:val="18"/>
                  <w:u w:val="none"/>
                </w:rPr>
                <w:t>GM</w:t>
              </w:r>
            </w:hyperlink>
            <w:r w:rsidRPr="00AA304F">
              <w:rPr>
                <w:rStyle w:val="apple-converted-space"/>
                <w:rFonts w:ascii="Helvetica Neue" w:hAnsi="Helvetica Neue"/>
                <w:color w:val="262626"/>
                <w:sz w:val="18"/>
                <w:szCs w:val="18"/>
              </w:rPr>
              <w:t> </w:t>
            </w:r>
            <w:r w:rsidRPr="00AA304F">
              <w:rPr>
                <w:rFonts w:ascii="Helvetica Neue" w:hAnsi="Helvetica Neue"/>
                <w:color w:val="262626"/>
                <w:sz w:val="18"/>
                <w:szCs w:val="18"/>
              </w:rPr>
              <w:t>downsized.</w:t>
            </w:r>
            <w:r w:rsidRPr="00AA304F">
              <w:rPr>
                <w:rStyle w:val="apple-converted-space"/>
                <w:rFonts w:ascii="Helvetica Neue" w:hAnsi="Helvetica Neue"/>
                <w:color w:val="262626"/>
                <w:sz w:val="18"/>
                <w:szCs w:val="18"/>
              </w:rPr>
              <w:t> </w:t>
            </w:r>
            <w:r w:rsidRPr="00AA304F">
              <w:rPr>
                <w:rFonts w:ascii="Helvetica Neue" w:hAnsi="Helvetica Neue"/>
                <w:color w:val="262626"/>
                <w:sz w:val="18"/>
                <w:szCs w:val="18"/>
              </w:rPr>
              <w:t>In 2011, the state of Michigan took over Flint's finances after</w:t>
            </w:r>
            <w:r w:rsidRPr="00AA304F">
              <w:rPr>
                <w:rStyle w:val="apple-converted-space"/>
                <w:rFonts w:ascii="Helvetica Neue" w:hAnsi="Helvetica Neue"/>
                <w:color w:val="262626"/>
                <w:sz w:val="18"/>
                <w:szCs w:val="18"/>
              </w:rPr>
              <w:t> </w:t>
            </w:r>
            <w:hyperlink r:id="rId8" w:tgtFrame="_blank" w:history="1">
              <w:r w:rsidRPr="00AA304F">
                <w:rPr>
                  <w:rStyle w:val="Hyperlink"/>
                  <w:rFonts w:ascii="Helvetica Neue" w:hAnsi="Helvetica Neue"/>
                  <w:color w:val="006598"/>
                  <w:sz w:val="18"/>
                  <w:szCs w:val="18"/>
                  <w:u w:val="none"/>
                </w:rPr>
                <w:t>an audit projected a $25 million deficit.</w:t>
              </w:r>
            </w:hyperlink>
          </w:p>
          <w:p w14:paraId="5A7278EA" w14:textId="53645F41" w:rsidR="00AA304F" w:rsidRPr="00AA304F" w:rsidRDefault="00AA304F">
            <w:pPr>
              <w:rPr>
                <w:rFonts w:ascii="Helvetica Neue" w:hAnsi="Helvetica Neue"/>
                <w:color w:val="262626"/>
                <w:sz w:val="18"/>
                <w:szCs w:val="18"/>
              </w:rPr>
            </w:pPr>
            <w:hyperlink r:id="rId9" w:tgtFrame="_blank" w:history="1">
              <w:r w:rsidRPr="00AA304F">
                <w:rPr>
                  <w:rStyle w:val="Hyperlink"/>
                  <w:rFonts w:ascii="Helvetica Neue" w:hAnsi="Helvetica Neue"/>
                  <w:color w:val="006598"/>
                  <w:sz w:val="18"/>
                  <w:szCs w:val="18"/>
                  <w:u w:val="none"/>
                </w:rPr>
                <w:t>In order to reduce the water fund shortfall, the city announced that a new pipeline would be built to deliver water from Lake Huron to Flint.</w:t>
              </w:r>
              <w:r w:rsidRPr="00AA304F">
                <w:rPr>
                  <w:rStyle w:val="apple-converted-space"/>
                  <w:rFonts w:ascii="Helvetica Neue" w:hAnsi="Helvetica Neue"/>
                  <w:color w:val="006598"/>
                  <w:sz w:val="18"/>
                  <w:szCs w:val="18"/>
                </w:rPr>
                <w:t> </w:t>
              </w:r>
            </w:hyperlink>
            <w:r w:rsidRPr="00AA304F">
              <w:rPr>
                <w:rFonts w:ascii="Helvetica Neue" w:hAnsi="Helvetica Neue"/>
                <w:color w:val="262626"/>
                <w:sz w:val="18"/>
                <w:szCs w:val="18"/>
              </w:rPr>
              <w:t>In 2014, while the pipeline was under construction, the city turned to the Flint River as a water source.</w:t>
            </w:r>
            <w:r w:rsidRPr="00AA304F">
              <w:rPr>
                <w:rStyle w:val="apple-converted-space"/>
                <w:rFonts w:ascii="Helvetica Neue" w:hAnsi="Helvetica Neue"/>
                <w:color w:val="262626"/>
                <w:sz w:val="18"/>
                <w:szCs w:val="18"/>
              </w:rPr>
              <w:t> </w:t>
            </w:r>
            <w:hyperlink r:id="rId10" w:tgtFrame="_blank" w:history="1">
              <w:r w:rsidRPr="00AA304F">
                <w:rPr>
                  <w:rStyle w:val="Hyperlink"/>
                  <w:rFonts w:ascii="Helvetica Neue" w:hAnsi="Helvetica Neue"/>
                  <w:color w:val="006598"/>
                  <w:sz w:val="18"/>
                  <w:szCs w:val="18"/>
                  <w:u w:val="none"/>
                </w:rPr>
                <w:t>Soon after the switch,</w:t>
              </w:r>
            </w:hyperlink>
            <w:r w:rsidRPr="00AA304F">
              <w:rPr>
                <w:rStyle w:val="apple-converted-space"/>
                <w:rFonts w:ascii="Helvetica Neue" w:hAnsi="Helvetica Neue"/>
                <w:color w:val="262626"/>
                <w:sz w:val="18"/>
                <w:szCs w:val="18"/>
              </w:rPr>
              <w:t> </w:t>
            </w:r>
            <w:r w:rsidRPr="00AA304F">
              <w:rPr>
                <w:rFonts w:ascii="Helvetica Neue" w:hAnsi="Helvetica Neue"/>
                <w:color w:val="262626"/>
                <w:sz w:val="18"/>
                <w:szCs w:val="18"/>
              </w:rPr>
              <w:t>residents reported changes to the water's color, smell and taste.</w:t>
            </w:r>
            <w:r w:rsidRPr="00AA304F">
              <w:rPr>
                <w:rFonts w:ascii="Helvetica Neue" w:hAnsi="Helvetica Neue"/>
                <w:color w:val="262626"/>
                <w:sz w:val="18"/>
                <w:szCs w:val="18"/>
              </w:rPr>
              <w:t xml:space="preserve"> </w:t>
            </w:r>
            <w:r w:rsidRPr="00AA304F">
              <w:rPr>
                <w:rFonts w:ascii="Helvetica Neue" w:hAnsi="Helvetica Neue"/>
                <w:color w:val="262626"/>
                <w:sz w:val="18"/>
                <w:szCs w:val="18"/>
              </w:rPr>
              <w:t>Tests in 2015 by the</w:t>
            </w:r>
            <w:r w:rsidRPr="00AA304F">
              <w:rPr>
                <w:rStyle w:val="apple-converted-space"/>
                <w:rFonts w:ascii="Helvetica Neue" w:hAnsi="Helvetica Neue"/>
                <w:color w:val="262626"/>
                <w:sz w:val="18"/>
                <w:szCs w:val="18"/>
              </w:rPr>
              <w:t> </w:t>
            </w:r>
            <w:hyperlink r:id="rId11" w:tgtFrame="_blank" w:history="1">
              <w:r w:rsidRPr="00AA304F">
                <w:rPr>
                  <w:rStyle w:val="Hyperlink"/>
                  <w:rFonts w:ascii="Helvetica Neue" w:hAnsi="Helvetica Neue"/>
                  <w:color w:val="006598"/>
                  <w:sz w:val="18"/>
                  <w:szCs w:val="18"/>
                  <w:u w:val="none"/>
                </w:rPr>
                <w:t>Environmental Protection Agency (EPA)</w:t>
              </w:r>
            </w:hyperlink>
            <w:r w:rsidRPr="00AA304F">
              <w:rPr>
                <w:rStyle w:val="apple-converted-space"/>
                <w:rFonts w:ascii="Helvetica Neue" w:hAnsi="Helvetica Neue"/>
                <w:color w:val="262626"/>
                <w:sz w:val="18"/>
                <w:szCs w:val="18"/>
              </w:rPr>
              <w:t> </w:t>
            </w:r>
            <w:r w:rsidRPr="00AA304F">
              <w:rPr>
                <w:rFonts w:ascii="Helvetica Neue" w:hAnsi="Helvetica Neue"/>
                <w:color w:val="262626"/>
                <w:sz w:val="18"/>
                <w:szCs w:val="18"/>
              </w:rPr>
              <w:t>and</w:t>
            </w:r>
            <w:r w:rsidRPr="00AA304F">
              <w:rPr>
                <w:rStyle w:val="apple-converted-space"/>
                <w:rFonts w:ascii="Helvetica Neue" w:hAnsi="Helvetica Neue"/>
                <w:color w:val="262626"/>
                <w:sz w:val="18"/>
                <w:szCs w:val="18"/>
              </w:rPr>
              <w:t> </w:t>
            </w:r>
            <w:hyperlink r:id="rId12" w:tgtFrame="_blank" w:history="1">
              <w:r w:rsidRPr="00AA304F">
                <w:rPr>
                  <w:rStyle w:val="Hyperlink"/>
                  <w:rFonts w:ascii="Helvetica Neue" w:hAnsi="Helvetica Neue"/>
                  <w:color w:val="006598"/>
                  <w:sz w:val="18"/>
                  <w:szCs w:val="18"/>
                  <w:u w:val="none"/>
                </w:rPr>
                <w:t>Virginia Tech</w:t>
              </w:r>
            </w:hyperlink>
            <w:r w:rsidRPr="00AA304F">
              <w:rPr>
                <w:rStyle w:val="apple-converted-space"/>
                <w:rFonts w:ascii="Helvetica Neue" w:hAnsi="Helvetica Neue"/>
                <w:color w:val="262626"/>
                <w:sz w:val="18"/>
                <w:szCs w:val="18"/>
              </w:rPr>
              <w:t> </w:t>
            </w:r>
            <w:r w:rsidRPr="00AA304F">
              <w:rPr>
                <w:rFonts w:ascii="Helvetica Neue" w:hAnsi="Helvetica Neue"/>
                <w:color w:val="262626"/>
                <w:sz w:val="18"/>
                <w:szCs w:val="18"/>
              </w:rPr>
              <w:t>indicated dangerous levels of lead in the water at residents' homes.</w:t>
            </w:r>
            <w:r w:rsidRPr="00AA304F">
              <w:rPr>
                <w:rFonts w:ascii="Helvetica Neue" w:hAnsi="Helvetica Neue"/>
                <w:color w:val="262626"/>
                <w:sz w:val="18"/>
                <w:szCs w:val="18"/>
              </w:rPr>
              <w:t xml:space="preserve"> </w:t>
            </w:r>
            <w:r w:rsidRPr="00AA304F">
              <w:rPr>
                <w:rFonts w:ascii="Helvetica Neue" w:hAnsi="Helvetica Neue"/>
                <w:color w:val="262626"/>
                <w:sz w:val="18"/>
                <w:szCs w:val="18"/>
              </w:rPr>
              <w:t>Lead consumption can affect the heart, kidneys and nerves.</w:t>
            </w:r>
            <w:r w:rsidRPr="00AA304F">
              <w:rPr>
                <w:rStyle w:val="apple-converted-space"/>
                <w:rFonts w:ascii="Helvetica Neue" w:hAnsi="Helvetica Neue"/>
                <w:color w:val="262626"/>
                <w:sz w:val="18"/>
                <w:szCs w:val="18"/>
              </w:rPr>
              <w:t> </w:t>
            </w:r>
            <w:hyperlink r:id="rId13" w:tgtFrame="_blank" w:history="1">
              <w:r w:rsidRPr="00AA304F">
                <w:rPr>
                  <w:rStyle w:val="Hyperlink"/>
                  <w:rFonts w:ascii="Helvetica Neue" w:hAnsi="Helvetica Neue"/>
                  <w:color w:val="006598"/>
                  <w:sz w:val="18"/>
                  <w:szCs w:val="18"/>
                  <w:u w:val="none"/>
                </w:rPr>
                <w:t>Health effects of lead exposure in children include impaired cognition, behavioral disorders, hearing problems and delayed puberty.</w:t>
              </w:r>
            </w:hyperlink>
          </w:p>
        </w:tc>
        <w:tc>
          <w:tcPr>
            <w:tcW w:w="5390" w:type="dxa"/>
          </w:tcPr>
          <w:p w14:paraId="74EF1160" w14:textId="77777777" w:rsidR="00AA304F" w:rsidRPr="00AA304F" w:rsidRDefault="00AA304F" w:rsidP="00AA304F">
            <w:pPr>
              <w:rPr>
                <w:rFonts w:ascii="dearJoe 5 CASUAL PRO" w:hAnsi="dearJoe 5 CASUAL PRO"/>
              </w:rPr>
            </w:pPr>
            <w:r w:rsidRPr="00AA304F">
              <w:rPr>
                <w:rFonts w:ascii="dearJoe 5 CASUAL PRO" w:hAnsi="dearJoe 5 CASUAL PRO"/>
              </w:rPr>
              <w:t>Diagram</w:t>
            </w:r>
          </w:p>
          <w:p w14:paraId="03DAC55F" w14:textId="77777777" w:rsidR="00AA304F" w:rsidRPr="00AA304F" w:rsidRDefault="00AA304F">
            <w:pPr>
              <w:rPr>
                <w:rFonts w:ascii="dearJoe 5 CASUAL PRO" w:hAnsi="dearJoe 5 CASUAL PRO"/>
              </w:rPr>
            </w:pPr>
          </w:p>
          <w:p w14:paraId="7A82A65F" w14:textId="77777777" w:rsidR="00AA304F" w:rsidRPr="00AA304F" w:rsidRDefault="00AA304F">
            <w:pPr>
              <w:rPr>
                <w:rFonts w:ascii="dearJoe 5 CASUAL PRO" w:hAnsi="dearJoe 5 CASUAL PRO"/>
              </w:rPr>
            </w:pPr>
          </w:p>
          <w:p w14:paraId="7A7F899C" w14:textId="77777777" w:rsidR="00AA304F" w:rsidRPr="00AA304F" w:rsidRDefault="00AA304F">
            <w:pPr>
              <w:rPr>
                <w:rFonts w:ascii="dearJoe 5 CASUAL PRO" w:hAnsi="dearJoe 5 CASUAL PRO"/>
              </w:rPr>
            </w:pPr>
          </w:p>
          <w:p w14:paraId="684F1DB7" w14:textId="77777777" w:rsidR="00AA304F" w:rsidRPr="00AA304F" w:rsidRDefault="00AA304F">
            <w:pPr>
              <w:rPr>
                <w:rFonts w:ascii="dearJoe 5 CASUAL PRO" w:hAnsi="dearJoe 5 CASUAL PRO"/>
              </w:rPr>
            </w:pPr>
          </w:p>
          <w:p w14:paraId="6A56ACE4" w14:textId="77777777" w:rsidR="00AA304F" w:rsidRPr="00AA304F" w:rsidRDefault="00AA304F">
            <w:pPr>
              <w:rPr>
                <w:rFonts w:ascii="dearJoe 5 CASUAL PRO" w:hAnsi="dearJoe 5 CASUAL PRO"/>
              </w:rPr>
            </w:pPr>
          </w:p>
          <w:p w14:paraId="47E12F01" w14:textId="77777777" w:rsidR="00AA304F" w:rsidRPr="00AA304F" w:rsidRDefault="00AA304F">
            <w:pPr>
              <w:rPr>
                <w:rFonts w:ascii="dearJoe 5 CASUAL PRO" w:hAnsi="dearJoe 5 CASUAL PRO"/>
              </w:rPr>
            </w:pPr>
          </w:p>
          <w:p w14:paraId="1DD59D7D" w14:textId="77777777" w:rsidR="00AA304F" w:rsidRPr="00AA304F" w:rsidRDefault="00AA304F">
            <w:pPr>
              <w:rPr>
                <w:rFonts w:ascii="dearJoe 5 CASUAL PRO" w:hAnsi="dearJoe 5 CASUAL PRO"/>
              </w:rPr>
            </w:pPr>
          </w:p>
          <w:p w14:paraId="6435F525" w14:textId="77777777" w:rsidR="00AA304F" w:rsidRPr="00AA304F" w:rsidRDefault="00AA304F">
            <w:pPr>
              <w:rPr>
                <w:rFonts w:ascii="dearJoe 5 CASUAL PRO" w:hAnsi="dearJoe 5 CASUAL PRO"/>
              </w:rPr>
            </w:pPr>
          </w:p>
          <w:p w14:paraId="74958458" w14:textId="27077591" w:rsidR="00AA304F" w:rsidRPr="00AA304F" w:rsidRDefault="00AA304F">
            <w:pPr>
              <w:rPr>
                <w:rFonts w:ascii="dearJoe 5 CASUAL PRO" w:hAnsi="dearJoe 5 CASUAL PRO"/>
              </w:rPr>
            </w:pPr>
          </w:p>
        </w:tc>
      </w:tr>
      <w:tr w:rsidR="00AA304F" w:rsidRPr="00AA304F" w14:paraId="76C71804" w14:textId="77777777" w:rsidTr="00AA304F">
        <w:tc>
          <w:tcPr>
            <w:tcW w:w="5140" w:type="dxa"/>
          </w:tcPr>
          <w:p w14:paraId="57F622AB" w14:textId="77777777" w:rsidR="00AA304F" w:rsidRPr="00AA304F" w:rsidRDefault="00AA304F">
            <w:pPr>
              <w:rPr>
                <w:rFonts w:ascii="dearJoe 5 CASUAL PRO" w:hAnsi="dearJoe 5 CASUAL PRO"/>
                <w:sz w:val="13"/>
                <w:szCs w:val="13"/>
              </w:rPr>
            </w:pPr>
            <w:r w:rsidRPr="00AA304F">
              <w:rPr>
                <w:rFonts w:ascii="dearJoe 5 CASUAL PRO" w:hAnsi="dearJoe 5 CASUAL PRO"/>
                <w:sz w:val="13"/>
                <w:szCs w:val="13"/>
              </w:rPr>
              <w:t>C</w:t>
            </w:r>
          </w:p>
          <w:p w14:paraId="4806DDF4" w14:textId="77777777" w:rsidR="00AA304F" w:rsidRPr="00AA304F" w:rsidRDefault="00AA304F">
            <w:pPr>
              <w:rPr>
                <w:rFonts w:ascii="dearJoe 5 CASUAL PRO" w:hAnsi="dearJoe 5 CASUAL PRO"/>
                <w:sz w:val="13"/>
                <w:szCs w:val="13"/>
              </w:rPr>
            </w:pPr>
            <w:r w:rsidRPr="00AA304F">
              <w:rPr>
                <w:rFonts w:ascii="dearJoe 5 CASUAL PRO" w:hAnsi="dearJoe 5 CASUAL PRO"/>
                <w:sz w:val="13"/>
                <w:szCs w:val="13"/>
              </w:rPr>
              <w:t>L</w:t>
            </w:r>
          </w:p>
          <w:p w14:paraId="0322015D" w14:textId="77777777" w:rsidR="00AA304F" w:rsidRPr="00AA304F" w:rsidRDefault="00AA304F">
            <w:pPr>
              <w:rPr>
                <w:rFonts w:ascii="dearJoe 5 CASUAL PRO" w:hAnsi="dearJoe 5 CASUAL PRO"/>
                <w:sz w:val="13"/>
                <w:szCs w:val="13"/>
              </w:rPr>
            </w:pPr>
            <w:r w:rsidRPr="00AA304F">
              <w:rPr>
                <w:rFonts w:ascii="dearJoe 5 CASUAL PRO" w:hAnsi="dearJoe 5 CASUAL PRO"/>
                <w:sz w:val="13"/>
                <w:szCs w:val="13"/>
              </w:rPr>
              <w:t>A</w:t>
            </w:r>
          </w:p>
          <w:p w14:paraId="558B3008" w14:textId="26A25321" w:rsidR="00AA304F" w:rsidRPr="00AA304F" w:rsidRDefault="00AA304F">
            <w:pPr>
              <w:rPr>
                <w:rFonts w:ascii="dearJoe 5 CASUAL PRO" w:hAnsi="dearJoe 5 CASUAL PRO"/>
              </w:rPr>
            </w:pPr>
            <w:r w:rsidRPr="00AA304F">
              <w:rPr>
                <w:rFonts w:ascii="dearJoe 5 CASUAL PRO" w:hAnsi="dearJoe 5 CASUAL PRO"/>
              </w:rPr>
              <w:t>Stakeholders</w:t>
            </w:r>
          </w:p>
          <w:p w14:paraId="26AED9E6" w14:textId="77777777" w:rsidR="00AA304F" w:rsidRPr="00AA304F" w:rsidRDefault="00AA304F">
            <w:pPr>
              <w:rPr>
                <w:rFonts w:ascii="dearJoe 5 CASUAL PRO" w:hAnsi="dearJoe 5 CASUAL PRO"/>
              </w:rPr>
            </w:pPr>
          </w:p>
          <w:p w14:paraId="5D2629FE" w14:textId="726F348E" w:rsidR="00AA304F" w:rsidRPr="00AA304F" w:rsidRDefault="00AA304F">
            <w:pPr>
              <w:rPr>
                <w:rFonts w:ascii="dearJoe 5 CASUAL PRO" w:hAnsi="dearJoe 5 CASUAL PRO"/>
              </w:rPr>
            </w:pPr>
          </w:p>
          <w:p w14:paraId="2F402E56" w14:textId="4C3E71BB" w:rsidR="00AA304F" w:rsidRPr="00AA304F" w:rsidRDefault="00AA304F">
            <w:pPr>
              <w:rPr>
                <w:rFonts w:ascii="dearJoe 5 CASUAL PRO" w:hAnsi="dearJoe 5 CASUAL PRO"/>
              </w:rPr>
            </w:pPr>
          </w:p>
          <w:p w14:paraId="129E00A2" w14:textId="528AF754" w:rsidR="00AA304F" w:rsidRPr="00AA304F" w:rsidRDefault="00AA304F">
            <w:pPr>
              <w:rPr>
                <w:rFonts w:ascii="dearJoe 5 CASUAL PRO" w:hAnsi="dearJoe 5 CASUAL PRO"/>
              </w:rPr>
            </w:pPr>
          </w:p>
          <w:p w14:paraId="383F3F5C" w14:textId="77777777" w:rsidR="00AA304F" w:rsidRPr="00AA304F" w:rsidRDefault="00AA304F">
            <w:pPr>
              <w:rPr>
                <w:rFonts w:ascii="dearJoe 5 CASUAL PRO" w:hAnsi="dearJoe 5 CASUAL PRO"/>
              </w:rPr>
            </w:pPr>
          </w:p>
          <w:p w14:paraId="313CBAC6" w14:textId="1CEA21FA" w:rsidR="00AA304F" w:rsidRPr="00AA304F" w:rsidRDefault="00AA304F">
            <w:pPr>
              <w:rPr>
                <w:rFonts w:ascii="dearJoe 5 CASUAL PRO" w:hAnsi="dearJoe 5 CASUAL PRO"/>
              </w:rPr>
            </w:pPr>
            <w:r w:rsidRPr="00AA304F">
              <w:rPr>
                <w:rFonts w:ascii="dearJoe 5 CASUAL PRO" w:hAnsi="dearJoe 5 CASUAL PRO"/>
              </w:rPr>
              <w:t>Pros and cons</w:t>
            </w:r>
          </w:p>
          <w:p w14:paraId="7367679B" w14:textId="77777777" w:rsidR="00AA304F" w:rsidRPr="00AA304F" w:rsidRDefault="00AA304F">
            <w:pPr>
              <w:rPr>
                <w:rFonts w:ascii="dearJoe 5 CASUAL PRO" w:hAnsi="dearJoe 5 CASUAL PRO"/>
              </w:rPr>
            </w:pPr>
          </w:p>
          <w:p w14:paraId="24684108" w14:textId="6D6E9133" w:rsidR="00AA304F" w:rsidRPr="00AA304F" w:rsidRDefault="00AA304F">
            <w:pPr>
              <w:rPr>
                <w:rFonts w:ascii="dearJoe 5 CASUAL PRO" w:hAnsi="dearJoe 5 CASUAL PRO"/>
              </w:rPr>
            </w:pPr>
          </w:p>
          <w:p w14:paraId="45C53721" w14:textId="39E0D284" w:rsidR="00AA304F" w:rsidRPr="00AA304F" w:rsidRDefault="00AA304F">
            <w:pPr>
              <w:rPr>
                <w:rFonts w:ascii="dearJoe 5 CASUAL PRO" w:hAnsi="dearJoe 5 CASUAL PRO"/>
              </w:rPr>
            </w:pPr>
          </w:p>
          <w:p w14:paraId="00F8F084" w14:textId="692FB445" w:rsidR="00AA304F" w:rsidRPr="00AA304F" w:rsidRDefault="00AA304F">
            <w:pPr>
              <w:rPr>
                <w:rFonts w:ascii="dearJoe 5 CASUAL PRO" w:hAnsi="dearJoe 5 CASUAL PRO"/>
              </w:rPr>
            </w:pPr>
          </w:p>
          <w:p w14:paraId="66239D5F" w14:textId="77777777" w:rsidR="00AA304F" w:rsidRPr="00AA304F" w:rsidRDefault="00AA304F">
            <w:pPr>
              <w:rPr>
                <w:rFonts w:ascii="dearJoe 5 CASUAL PRO" w:hAnsi="dearJoe 5 CASUAL PRO"/>
              </w:rPr>
            </w:pPr>
          </w:p>
          <w:p w14:paraId="578C77AC" w14:textId="4E938EFF" w:rsidR="00AA304F" w:rsidRPr="00AA304F" w:rsidRDefault="00AA304F">
            <w:pPr>
              <w:rPr>
                <w:rFonts w:ascii="dearJoe 5 CASUAL PRO" w:hAnsi="dearJoe 5 CASUAL PRO"/>
              </w:rPr>
            </w:pPr>
            <w:r w:rsidRPr="00AA304F">
              <w:rPr>
                <w:rFonts w:ascii="dearJoe 5 CASUAL PRO" w:hAnsi="dearJoe 5 CASUAL PRO"/>
              </w:rPr>
              <w:t>Priorities</w:t>
            </w:r>
          </w:p>
          <w:p w14:paraId="6E33CEC1" w14:textId="7786D9EA" w:rsidR="00AA304F" w:rsidRPr="00AA304F" w:rsidRDefault="00AA304F">
            <w:pPr>
              <w:rPr>
                <w:rFonts w:ascii="dearJoe 5 CASUAL PRO" w:hAnsi="dearJoe 5 CASUAL PRO"/>
              </w:rPr>
            </w:pPr>
          </w:p>
          <w:p w14:paraId="2DE1EDBF" w14:textId="77777777" w:rsidR="00AA304F" w:rsidRPr="00AA304F" w:rsidRDefault="00AA304F">
            <w:pPr>
              <w:rPr>
                <w:rFonts w:ascii="dearJoe 5 CASUAL PRO" w:hAnsi="dearJoe 5 CASUAL PRO"/>
              </w:rPr>
            </w:pPr>
          </w:p>
          <w:p w14:paraId="25EB5F8B" w14:textId="77777777" w:rsidR="00AA304F" w:rsidRPr="00AA304F" w:rsidRDefault="00AA304F">
            <w:pPr>
              <w:rPr>
                <w:rFonts w:ascii="dearJoe 5 CASUAL PRO" w:hAnsi="dearJoe 5 CASUAL PRO"/>
              </w:rPr>
            </w:pPr>
          </w:p>
          <w:p w14:paraId="3B39C437" w14:textId="548FA64B" w:rsidR="00AA304F" w:rsidRPr="00AA304F" w:rsidRDefault="00AA304F">
            <w:pPr>
              <w:rPr>
                <w:rFonts w:ascii="dearJoe 5 CASUAL PRO" w:hAnsi="dearJoe 5 CASUAL PRO"/>
              </w:rPr>
            </w:pPr>
          </w:p>
        </w:tc>
        <w:tc>
          <w:tcPr>
            <w:tcW w:w="5390" w:type="dxa"/>
          </w:tcPr>
          <w:p w14:paraId="322955A3" w14:textId="6211B81F" w:rsidR="00AA304F" w:rsidRPr="00AA304F" w:rsidRDefault="00AA304F">
            <w:pPr>
              <w:rPr>
                <w:rFonts w:ascii="dearJoe 5 CASUAL PRO" w:hAnsi="dearJoe 5 CASUAL PRO"/>
              </w:rPr>
            </w:pPr>
            <w:r w:rsidRPr="00AA304F">
              <w:rPr>
                <w:rFonts w:ascii="dearJoe 5 CASUAL PRO" w:hAnsi="dearJoe 5 CASUAL PRO"/>
              </w:rPr>
              <w:t>Conclusion – Why is this policy preferred over others?</w:t>
            </w:r>
          </w:p>
        </w:tc>
      </w:tr>
    </w:tbl>
    <w:p w14:paraId="7F712FAF" w14:textId="77777777" w:rsidR="00AA304F" w:rsidRPr="00AA304F" w:rsidRDefault="00AA304F">
      <w:pPr>
        <w:rPr>
          <w:rFonts w:ascii="dearJoe 5 CASUAL PRO" w:hAnsi="dearJoe 5 CASUAL PRO"/>
        </w:rPr>
      </w:pPr>
    </w:p>
    <w:tbl>
      <w:tblPr>
        <w:tblStyle w:val="TableGrid"/>
        <w:tblW w:w="10530" w:type="dxa"/>
        <w:tblInd w:w="-635" w:type="dxa"/>
        <w:tblLook w:val="04A0" w:firstRow="1" w:lastRow="0" w:firstColumn="1" w:lastColumn="0" w:noHBand="0" w:noVBand="1"/>
      </w:tblPr>
      <w:tblGrid>
        <w:gridCol w:w="5140"/>
        <w:gridCol w:w="5390"/>
      </w:tblGrid>
      <w:tr w:rsidR="00C758B5" w:rsidRPr="00AA304F" w14:paraId="59F9281F" w14:textId="77777777" w:rsidTr="00657EAC">
        <w:tc>
          <w:tcPr>
            <w:tcW w:w="5140" w:type="dxa"/>
          </w:tcPr>
          <w:p w14:paraId="35D5B2E2" w14:textId="77777777" w:rsidR="00AA304F" w:rsidRPr="00AA304F" w:rsidRDefault="00AA304F" w:rsidP="00657EAC">
            <w:pPr>
              <w:rPr>
                <w:rFonts w:ascii="dearJoe 5 CASUAL PRO" w:hAnsi="dearJoe 5 CASUAL PRO"/>
              </w:rPr>
            </w:pPr>
            <w:r w:rsidRPr="00AA304F">
              <w:rPr>
                <w:rFonts w:ascii="dearJoe 5 CASUAL PRO" w:hAnsi="dearJoe 5 CASUAL PRO"/>
              </w:rPr>
              <w:t>News story</w:t>
            </w:r>
          </w:p>
          <w:p w14:paraId="623C671C" w14:textId="680AD5F9" w:rsidR="00AA304F" w:rsidRPr="00AA304F" w:rsidRDefault="00C758B5" w:rsidP="00657EAC">
            <w:pPr>
              <w:rPr>
                <w:rFonts w:ascii="dearJoe 5 CASUAL PRO" w:hAnsi="dearJoe 5 CASUAL PRO"/>
              </w:rPr>
            </w:pPr>
            <w:r>
              <w:rPr>
                <w:rFonts w:ascii="dearJoe 5 CASUAL PRO" w:hAnsi="dearJoe 5 CASUAL PRO"/>
                <w:noProof/>
              </w:rPr>
              <w:drawing>
                <wp:inline distT="0" distB="0" distL="0" distR="0" wp14:anchorId="02BFAB38" wp14:editId="3C165046">
                  <wp:extent cx="3055332" cy="191923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asles_US_1944-2007_inset.png"/>
                          <pic:cNvPicPr/>
                        </pic:nvPicPr>
                        <pic:blipFill>
                          <a:blip r:embed="rId14">
                            <a:extLst>
                              <a:ext uri="{28A0092B-C50C-407E-A947-70E740481C1C}">
                                <a14:useLocalDpi xmlns:a14="http://schemas.microsoft.com/office/drawing/2010/main" val="0"/>
                              </a:ext>
                            </a:extLst>
                          </a:blip>
                          <a:stretch>
                            <a:fillRect/>
                          </a:stretch>
                        </pic:blipFill>
                        <pic:spPr>
                          <a:xfrm>
                            <a:off x="0" y="0"/>
                            <a:ext cx="3136488" cy="1970214"/>
                          </a:xfrm>
                          <a:prstGeom prst="rect">
                            <a:avLst/>
                          </a:prstGeom>
                        </pic:spPr>
                      </pic:pic>
                    </a:graphicData>
                  </a:graphic>
                </wp:inline>
              </w:drawing>
            </w:r>
          </w:p>
          <w:p w14:paraId="5DEE58EE" w14:textId="442218B2" w:rsidR="00AA304F" w:rsidRPr="00C758B5" w:rsidRDefault="00C758B5" w:rsidP="00C758B5">
            <w:pPr>
              <w:pStyle w:val="NormalWeb"/>
              <w:spacing w:before="0" w:beforeAutospacing="0" w:after="225" w:afterAutospacing="0"/>
              <w:textAlignment w:val="baseline"/>
              <w:rPr>
                <w:rFonts w:ascii="inherit" w:hAnsi="inherit"/>
                <w:color w:val="333333"/>
              </w:rPr>
            </w:pPr>
            <w:r>
              <w:rPr>
                <w:rFonts w:ascii="inherit" w:hAnsi="inherit"/>
                <w:color w:val="333333"/>
              </w:rPr>
              <w:t>From January 1 to December 5, 2019, the USA reported 1276 confirmed measles cases spanning 31 states, among them 124 were hospitalized and 61 have serious complication like pneumonia and encephalitis, compared with 372 reported cases in 2018, 120 in 2017, 86 in 2016, 188 in 2015, and 667 in 2014 [1]. This is the greatest number of cases reported in the USA since 1992 while measles was declared officially eliminated in the US in 2000 [1]. More than 75% of the cases this year are linked to recent outbreaks in New York.</w:t>
            </w:r>
          </w:p>
        </w:tc>
        <w:tc>
          <w:tcPr>
            <w:tcW w:w="5390" w:type="dxa"/>
          </w:tcPr>
          <w:p w14:paraId="1BD678EE" w14:textId="77777777" w:rsidR="00AA304F" w:rsidRPr="00AA304F" w:rsidRDefault="00AA304F" w:rsidP="00657EAC">
            <w:pPr>
              <w:rPr>
                <w:rFonts w:ascii="dearJoe 5 CASUAL PRO" w:hAnsi="dearJoe 5 CASUAL PRO"/>
              </w:rPr>
            </w:pPr>
            <w:r w:rsidRPr="00AA304F">
              <w:rPr>
                <w:rFonts w:ascii="dearJoe 5 CASUAL PRO" w:hAnsi="dearJoe 5 CASUAL PRO"/>
              </w:rPr>
              <w:t>Diagram</w:t>
            </w:r>
          </w:p>
          <w:p w14:paraId="0DEA0D78" w14:textId="77777777" w:rsidR="00AA304F" w:rsidRPr="00AA304F" w:rsidRDefault="00AA304F" w:rsidP="00657EAC">
            <w:pPr>
              <w:rPr>
                <w:rFonts w:ascii="dearJoe 5 CASUAL PRO" w:hAnsi="dearJoe 5 CASUAL PRO"/>
              </w:rPr>
            </w:pPr>
          </w:p>
          <w:p w14:paraId="67136140" w14:textId="77777777" w:rsidR="00AA304F" w:rsidRPr="00AA304F" w:rsidRDefault="00AA304F" w:rsidP="00657EAC">
            <w:pPr>
              <w:rPr>
                <w:rFonts w:ascii="dearJoe 5 CASUAL PRO" w:hAnsi="dearJoe 5 CASUAL PRO"/>
              </w:rPr>
            </w:pPr>
          </w:p>
          <w:p w14:paraId="6D86B7FA" w14:textId="77777777" w:rsidR="00AA304F" w:rsidRPr="00AA304F" w:rsidRDefault="00AA304F" w:rsidP="00657EAC">
            <w:pPr>
              <w:rPr>
                <w:rFonts w:ascii="dearJoe 5 CASUAL PRO" w:hAnsi="dearJoe 5 CASUAL PRO"/>
              </w:rPr>
            </w:pPr>
          </w:p>
          <w:p w14:paraId="644CE8F4" w14:textId="77777777" w:rsidR="00AA304F" w:rsidRPr="00AA304F" w:rsidRDefault="00AA304F" w:rsidP="00657EAC">
            <w:pPr>
              <w:rPr>
                <w:rFonts w:ascii="dearJoe 5 CASUAL PRO" w:hAnsi="dearJoe 5 CASUAL PRO"/>
              </w:rPr>
            </w:pPr>
          </w:p>
          <w:p w14:paraId="7591D1A6" w14:textId="77777777" w:rsidR="00AA304F" w:rsidRPr="00AA304F" w:rsidRDefault="00AA304F" w:rsidP="00657EAC">
            <w:pPr>
              <w:rPr>
                <w:rFonts w:ascii="dearJoe 5 CASUAL PRO" w:hAnsi="dearJoe 5 CASUAL PRO"/>
              </w:rPr>
            </w:pPr>
          </w:p>
          <w:p w14:paraId="7624B48E" w14:textId="77777777" w:rsidR="00AA304F" w:rsidRPr="00AA304F" w:rsidRDefault="00AA304F" w:rsidP="00657EAC">
            <w:pPr>
              <w:rPr>
                <w:rFonts w:ascii="dearJoe 5 CASUAL PRO" w:hAnsi="dearJoe 5 CASUAL PRO"/>
              </w:rPr>
            </w:pPr>
          </w:p>
          <w:p w14:paraId="792F911C" w14:textId="77777777" w:rsidR="00AA304F" w:rsidRPr="00AA304F" w:rsidRDefault="00AA304F" w:rsidP="00657EAC">
            <w:pPr>
              <w:rPr>
                <w:rFonts w:ascii="dearJoe 5 CASUAL PRO" w:hAnsi="dearJoe 5 CASUAL PRO"/>
              </w:rPr>
            </w:pPr>
          </w:p>
          <w:p w14:paraId="30DEE42C" w14:textId="77777777" w:rsidR="00AA304F" w:rsidRPr="00AA304F" w:rsidRDefault="00AA304F" w:rsidP="00657EAC">
            <w:pPr>
              <w:rPr>
                <w:rFonts w:ascii="dearJoe 5 CASUAL PRO" w:hAnsi="dearJoe 5 CASUAL PRO"/>
              </w:rPr>
            </w:pPr>
          </w:p>
          <w:p w14:paraId="71E42F58" w14:textId="77777777" w:rsidR="00AA304F" w:rsidRPr="00AA304F" w:rsidRDefault="00AA304F" w:rsidP="00657EAC">
            <w:pPr>
              <w:rPr>
                <w:rFonts w:ascii="dearJoe 5 CASUAL PRO" w:hAnsi="dearJoe 5 CASUAL PRO"/>
              </w:rPr>
            </w:pPr>
          </w:p>
        </w:tc>
      </w:tr>
      <w:tr w:rsidR="00C758B5" w:rsidRPr="00AA304F" w14:paraId="6F46C309" w14:textId="77777777" w:rsidTr="00657EAC">
        <w:tc>
          <w:tcPr>
            <w:tcW w:w="5140" w:type="dxa"/>
          </w:tcPr>
          <w:p w14:paraId="46850F7E" w14:textId="77777777" w:rsidR="00AA304F" w:rsidRPr="00AA304F" w:rsidRDefault="00AA304F" w:rsidP="00657EAC">
            <w:pPr>
              <w:rPr>
                <w:rFonts w:ascii="dearJoe 5 CASUAL PRO" w:hAnsi="dearJoe 5 CASUAL PRO"/>
                <w:sz w:val="13"/>
                <w:szCs w:val="13"/>
              </w:rPr>
            </w:pPr>
            <w:r w:rsidRPr="00AA304F">
              <w:rPr>
                <w:rFonts w:ascii="dearJoe 5 CASUAL PRO" w:hAnsi="dearJoe 5 CASUAL PRO"/>
                <w:sz w:val="13"/>
                <w:szCs w:val="13"/>
              </w:rPr>
              <w:t>C</w:t>
            </w:r>
          </w:p>
          <w:p w14:paraId="79B033A1" w14:textId="77777777" w:rsidR="00AA304F" w:rsidRPr="00AA304F" w:rsidRDefault="00AA304F" w:rsidP="00657EAC">
            <w:pPr>
              <w:rPr>
                <w:rFonts w:ascii="dearJoe 5 CASUAL PRO" w:hAnsi="dearJoe 5 CASUAL PRO"/>
                <w:sz w:val="13"/>
                <w:szCs w:val="13"/>
              </w:rPr>
            </w:pPr>
            <w:r w:rsidRPr="00AA304F">
              <w:rPr>
                <w:rFonts w:ascii="dearJoe 5 CASUAL PRO" w:hAnsi="dearJoe 5 CASUAL PRO"/>
                <w:sz w:val="13"/>
                <w:szCs w:val="13"/>
              </w:rPr>
              <w:t>L</w:t>
            </w:r>
          </w:p>
          <w:p w14:paraId="77B9A60A" w14:textId="77777777" w:rsidR="00AA304F" w:rsidRPr="00AA304F" w:rsidRDefault="00AA304F" w:rsidP="00657EAC">
            <w:pPr>
              <w:rPr>
                <w:rFonts w:ascii="dearJoe 5 CASUAL PRO" w:hAnsi="dearJoe 5 CASUAL PRO"/>
                <w:sz w:val="13"/>
                <w:szCs w:val="13"/>
              </w:rPr>
            </w:pPr>
            <w:r w:rsidRPr="00AA304F">
              <w:rPr>
                <w:rFonts w:ascii="dearJoe 5 CASUAL PRO" w:hAnsi="dearJoe 5 CASUAL PRO"/>
                <w:sz w:val="13"/>
                <w:szCs w:val="13"/>
              </w:rPr>
              <w:t>A</w:t>
            </w:r>
          </w:p>
          <w:p w14:paraId="2823C5E5" w14:textId="77777777" w:rsidR="00AA304F" w:rsidRPr="00AA304F" w:rsidRDefault="00AA304F" w:rsidP="00657EAC">
            <w:pPr>
              <w:rPr>
                <w:rFonts w:ascii="dearJoe 5 CASUAL PRO" w:hAnsi="dearJoe 5 CASUAL PRO"/>
              </w:rPr>
            </w:pPr>
            <w:r w:rsidRPr="00AA304F">
              <w:rPr>
                <w:rFonts w:ascii="dearJoe 5 CASUAL PRO" w:hAnsi="dearJoe 5 CASUAL PRO"/>
              </w:rPr>
              <w:t>Stakeholders</w:t>
            </w:r>
          </w:p>
          <w:p w14:paraId="7F6BAA32" w14:textId="77777777" w:rsidR="00AA304F" w:rsidRPr="00AA304F" w:rsidRDefault="00AA304F" w:rsidP="00657EAC">
            <w:pPr>
              <w:rPr>
                <w:rFonts w:ascii="dearJoe 5 CASUAL PRO" w:hAnsi="dearJoe 5 CASUAL PRO"/>
              </w:rPr>
            </w:pPr>
          </w:p>
          <w:p w14:paraId="47D3977F" w14:textId="77777777" w:rsidR="00AA304F" w:rsidRPr="00AA304F" w:rsidRDefault="00AA304F" w:rsidP="00657EAC">
            <w:pPr>
              <w:rPr>
                <w:rFonts w:ascii="dearJoe 5 CASUAL PRO" w:hAnsi="dearJoe 5 CASUAL PRO"/>
              </w:rPr>
            </w:pPr>
          </w:p>
          <w:p w14:paraId="1B67CF69" w14:textId="77777777" w:rsidR="00AA304F" w:rsidRPr="00AA304F" w:rsidRDefault="00AA304F" w:rsidP="00657EAC">
            <w:pPr>
              <w:rPr>
                <w:rFonts w:ascii="dearJoe 5 CASUAL PRO" w:hAnsi="dearJoe 5 CASUAL PRO"/>
              </w:rPr>
            </w:pPr>
          </w:p>
          <w:p w14:paraId="788CB4AD" w14:textId="77777777" w:rsidR="00AA304F" w:rsidRPr="00AA304F" w:rsidRDefault="00AA304F" w:rsidP="00657EAC">
            <w:pPr>
              <w:rPr>
                <w:rFonts w:ascii="dearJoe 5 CASUAL PRO" w:hAnsi="dearJoe 5 CASUAL PRO"/>
              </w:rPr>
            </w:pPr>
            <w:r w:rsidRPr="00AA304F">
              <w:rPr>
                <w:rFonts w:ascii="dearJoe 5 CASUAL PRO" w:hAnsi="dearJoe 5 CASUAL PRO"/>
              </w:rPr>
              <w:t>Pros and cons</w:t>
            </w:r>
          </w:p>
          <w:p w14:paraId="48FC4044" w14:textId="77777777" w:rsidR="00AA304F" w:rsidRPr="00AA304F" w:rsidRDefault="00AA304F" w:rsidP="00657EAC">
            <w:pPr>
              <w:rPr>
                <w:rFonts w:ascii="dearJoe 5 CASUAL PRO" w:hAnsi="dearJoe 5 CASUAL PRO"/>
              </w:rPr>
            </w:pPr>
          </w:p>
          <w:p w14:paraId="57A43553" w14:textId="77777777" w:rsidR="00AA304F" w:rsidRPr="00AA304F" w:rsidRDefault="00AA304F" w:rsidP="00657EAC">
            <w:pPr>
              <w:rPr>
                <w:rFonts w:ascii="dearJoe 5 CASUAL PRO" w:hAnsi="dearJoe 5 CASUAL PRO"/>
              </w:rPr>
            </w:pPr>
          </w:p>
          <w:p w14:paraId="519E92DC" w14:textId="77777777" w:rsidR="00AA304F" w:rsidRPr="00AA304F" w:rsidRDefault="00AA304F" w:rsidP="00657EAC">
            <w:pPr>
              <w:rPr>
                <w:rFonts w:ascii="dearJoe 5 CASUAL PRO" w:hAnsi="dearJoe 5 CASUAL PRO"/>
              </w:rPr>
            </w:pPr>
          </w:p>
          <w:p w14:paraId="4B74D65E" w14:textId="77777777" w:rsidR="00AA304F" w:rsidRPr="00AA304F" w:rsidRDefault="00AA304F" w:rsidP="00657EAC">
            <w:pPr>
              <w:rPr>
                <w:rFonts w:ascii="dearJoe 5 CASUAL PRO" w:hAnsi="dearJoe 5 CASUAL PRO"/>
              </w:rPr>
            </w:pPr>
            <w:r w:rsidRPr="00AA304F">
              <w:rPr>
                <w:rFonts w:ascii="dearJoe 5 CASUAL PRO" w:hAnsi="dearJoe 5 CASUAL PRO"/>
              </w:rPr>
              <w:t>Priorities</w:t>
            </w:r>
          </w:p>
          <w:p w14:paraId="5C50A2D2" w14:textId="77777777" w:rsidR="00AA304F" w:rsidRPr="00AA304F" w:rsidRDefault="00AA304F" w:rsidP="00657EAC">
            <w:pPr>
              <w:rPr>
                <w:rFonts w:ascii="dearJoe 5 CASUAL PRO" w:hAnsi="dearJoe 5 CASUAL PRO"/>
              </w:rPr>
            </w:pPr>
          </w:p>
          <w:p w14:paraId="1C8347DB" w14:textId="77777777" w:rsidR="00AA304F" w:rsidRPr="00AA304F" w:rsidRDefault="00AA304F" w:rsidP="00657EAC">
            <w:pPr>
              <w:rPr>
                <w:rFonts w:ascii="dearJoe 5 CASUAL PRO" w:hAnsi="dearJoe 5 CASUAL PRO"/>
              </w:rPr>
            </w:pPr>
          </w:p>
          <w:p w14:paraId="73684FCF" w14:textId="77777777" w:rsidR="00AA304F" w:rsidRPr="00AA304F" w:rsidRDefault="00AA304F" w:rsidP="00657EAC">
            <w:pPr>
              <w:rPr>
                <w:rFonts w:ascii="dearJoe 5 CASUAL PRO" w:hAnsi="dearJoe 5 CASUAL PRO"/>
              </w:rPr>
            </w:pPr>
          </w:p>
          <w:p w14:paraId="03CA9B55" w14:textId="77777777" w:rsidR="00AA304F" w:rsidRPr="00AA304F" w:rsidRDefault="00AA304F" w:rsidP="00657EAC">
            <w:pPr>
              <w:rPr>
                <w:rFonts w:ascii="dearJoe 5 CASUAL PRO" w:hAnsi="dearJoe 5 CASUAL PRO"/>
              </w:rPr>
            </w:pPr>
          </w:p>
        </w:tc>
        <w:tc>
          <w:tcPr>
            <w:tcW w:w="5390" w:type="dxa"/>
          </w:tcPr>
          <w:p w14:paraId="0EB5CB59" w14:textId="77777777" w:rsidR="00AA304F" w:rsidRPr="00AA304F" w:rsidRDefault="00AA304F" w:rsidP="00657EAC">
            <w:pPr>
              <w:rPr>
                <w:rFonts w:ascii="dearJoe 5 CASUAL PRO" w:hAnsi="dearJoe 5 CASUAL PRO"/>
              </w:rPr>
            </w:pPr>
            <w:r w:rsidRPr="00AA304F">
              <w:rPr>
                <w:rFonts w:ascii="dearJoe 5 CASUAL PRO" w:hAnsi="dearJoe 5 CASUAL PRO"/>
              </w:rPr>
              <w:t>Conclusion – Why is this policy preferred over others?</w:t>
            </w:r>
          </w:p>
        </w:tc>
      </w:tr>
    </w:tbl>
    <w:p w14:paraId="7447BFD4" w14:textId="7F972F42" w:rsidR="00AA304F" w:rsidRPr="00AA304F" w:rsidRDefault="00AA304F">
      <w:pPr>
        <w:rPr>
          <w:rFonts w:ascii="dearJoe 5 CASUAL PRO" w:hAnsi="dearJoe 5 CASUAL PRO"/>
        </w:rPr>
      </w:pPr>
    </w:p>
    <w:tbl>
      <w:tblPr>
        <w:tblStyle w:val="TableGrid"/>
        <w:tblW w:w="10530" w:type="dxa"/>
        <w:tblInd w:w="-635" w:type="dxa"/>
        <w:tblLook w:val="04A0" w:firstRow="1" w:lastRow="0" w:firstColumn="1" w:lastColumn="0" w:noHBand="0" w:noVBand="1"/>
      </w:tblPr>
      <w:tblGrid>
        <w:gridCol w:w="5140"/>
        <w:gridCol w:w="5390"/>
      </w:tblGrid>
      <w:tr w:rsidR="00AA304F" w:rsidRPr="00AA304F" w14:paraId="5F34B5CC" w14:textId="77777777" w:rsidTr="00657EAC">
        <w:tc>
          <w:tcPr>
            <w:tcW w:w="5140" w:type="dxa"/>
          </w:tcPr>
          <w:p w14:paraId="08B528D5" w14:textId="5659F624" w:rsidR="00AA304F" w:rsidRDefault="00AA304F" w:rsidP="00657EAC">
            <w:pPr>
              <w:rPr>
                <w:rFonts w:ascii="dearJoe 5 CASUAL PRO" w:hAnsi="dearJoe 5 CASUAL PRO"/>
              </w:rPr>
            </w:pPr>
            <w:r w:rsidRPr="00AA304F">
              <w:rPr>
                <w:rFonts w:ascii="dearJoe 5 CASUAL PRO" w:hAnsi="dearJoe 5 CASUAL PRO"/>
              </w:rPr>
              <w:lastRenderedPageBreak/>
              <w:t>News story</w:t>
            </w:r>
          </w:p>
          <w:p w14:paraId="39469914" w14:textId="51C5DBBD" w:rsidR="00C758B5" w:rsidRDefault="00C758B5" w:rsidP="00657EAC">
            <w:pPr>
              <w:rPr>
                <w:rFonts w:ascii="dearJoe 5 CASUAL PRO" w:hAnsi="dearJoe 5 CASUAL PRO"/>
              </w:rPr>
            </w:pPr>
            <w:r>
              <w:rPr>
                <w:rFonts w:ascii="dearJoe 5 CASUAL PRO" w:hAnsi="dearJoe 5 CASUAL PRO"/>
                <w:noProof/>
              </w:rPr>
              <w:drawing>
                <wp:inline distT="0" distB="0" distL="0" distR="0" wp14:anchorId="590F040A" wp14:editId="4FF3A9CC">
                  <wp:extent cx="1780161" cy="11867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9bca48604.jpg"/>
                          <pic:cNvPicPr/>
                        </pic:nvPicPr>
                        <pic:blipFill>
                          <a:blip r:embed="rId15">
                            <a:extLst>
                              <a:ext uri="{28A0092B-C50C-407E-A947-70E740481C1C}">
                                <a14:useLocalDpi xmlns:a14="http://schemas.microsoft.com/office/drawing/2010/main" val="0"/>
                              </a:ext>
                            </a:extLst>
                          </a:blip>
                          <a:stretch>
                            <a:fillRect/>
                          </a:stretch>
                        </pic:blipFill>
                        <pic:spPr>
                          <a:xfrm>
                            <a:off x="0" y="0"/>
                            <a:ext cx="1827331" cy="1218221"/>
                          </a:xfrm>
                          <a:prstGeom prst="rect">
                            <a:avLst/>
                          </a:prstGeom>
                        </pic:spPr>
                      </pic:pic>
                    </a:graphicData>
                  </a:graphic>
                </wp:inline>
              </w:drawing>
            </w:r>
          </w:p>
          <w:p w14:paraId="171267E0" w14:textId="77777777" w:rsidR="00C758B5" w:rsidRPr="00C758B5" w:rsidRDefault="00C758B5" w:rsidP="00C758B5">
            <w:pPr>
              <w:rPr>
                <w:sz w:val="20"/>
                <w:szCs w:val="20"/>
              </w:rPr>
            </w:pPr>
            <w:r w:rsidRPr="00C758B5">
              <w:rPr>
                <w:rFonts w:ascii="Arial" w:hAnsi="Arial" w:cs="Arial"/>
                <w:color w:val="222222"/>
                <w:sz w:val="20"/>
                <w:szCs w:val="20"/>
                <w:shd w:val="clear" w:color="auto" w:fill="FFFFFF"/>
              </w:rPr>
              <w:t>The blowout and oil</w:t>
            </w:r>
            <w:r w:rsidRPr="00C758B5">
              <w:rPr>
                <w:rStyle w:val="apple-converted-space"/>
                <w:rFonts w:ascii="Arial" w:hAnsi="Arial" w:cs="Arial"/>
                <w:color w:val="222222"/>
                <w:sz w:val="20"/>
                <w:szCs w:val="20"/>
                <w:shd w:val="clear" w:color="auto" w:fill="FFFFFF"/>
              </w:rPr>
              <w:t> </w:t>
            </w:r>
            <w:r w:rsidRPr="00C758B5">
              <w:rPr>
                <w:rFonts w:ascii="Arial" w:hAnsi="Arial" w:cs="Arial"/>
                <w:b/>
                <w:bCs/>
                <w:color w:val="222222"/>
                <w:sz w:val="20"/>
                <w:szCs w:val="20"/>
              </w:rPr>
              <w:t>spill</w:t>
            </w:r>
            <w:r w:rsidRPr="00C758B5">
              <w:rPr>
                <w:rStyle w:val="apple-converted-space"/>
                <w:rFonts w:ascii="Arial" w:hAnsi="Arial" w:cs="Arial"/>
                <w:color w:val="222222"/>
                <w:sz w:val="20"/>
                <w:szCs w:val="20"/>
                <w:shd w:val="clear" w:color="auto" w:fill="FFFFFF"/>
              </w:rPr>
              <w:t> </w:t>
            </w:r>
            <w:r w:rsidRPr="00C758B5">
              <w:rPr>
                <w:rFonts w:ascii="Arial" w:hAnsi="Arial" w:cs="Arial"/>
                <w:color w:val="222222"/>
                <w:sz w:val="20"/>
                <w:szCs w:val="20"/>
                <w:shd w:val="clear" w:color="auto" w:fill="FFFFFF"/>
              </w:rPr>
              <w:t>on the</w:t>
            </w:r>
            <w:r w:rsidRPr="00C758B5">
              <w:rPr>
                <w:rStyle w:val="apple-converted-space"/>
                <w:rFonts w:ascii="Arial" w:hAnsi="Arial" w:cs="Arial"/>
                <w:color w:val="222222"/>
                <w:sz w:val="20"/>
                <w:szCs w:val="20"/>
                <w:shd w:val="clear" w:color="auto" w:fill="FFFFFF"/>
              </w:rPr>
              <w:t> </w:t>
            </w:r>
            <w:r w:rsidRPr="00C758B5">
              <w:rPr>
                <w:rFonts w:ascii="Arial" w:hAnsi="Arial" w:cs="Arial"/>
                <w:b/>
                <w:bCs/>
                <w:color w:val="222222"/>
                <w:sz w:val="20"/>
                <w:szCs w:val="20"/>
              </w:rPr>
              <w:t>Deepwater Horizon</w:t>
            </w:r>
            <w:r w:rsidRPr="00C758B5">
              <w:rPr>
                <w:rStyle w:val="apple-converted-space"/>
                <w:rFonts w:ascii="Arial" w:hAnsi="Arial" w:cs="Arial"/>
                <w:color w:val="222222"/>
                <w:sz w:val="20"/>
                <w:szCs w:val="20"/>
                <w:shd w:val="clear" w:color="auto" w:fill="FFFFFF"/>
              </w:rPr>
              <w:t> </w:t>
            </w:r>
            <w:r w:rsidRPr="00C758B5">
              <w:rPr>
                <w:rFonts w:ascii="Arial" w:hAnsi="Arial" w:cs="Arial"/>
                <w:color w:val="222222"/>
                <w:sz w:val="20"/>
                <w:szCs w:val="20"/>
                <w:shd w:val="clear" w:color="auto" w:fill="FFFFFF"/>
              </w:rPr>
              <w:t>in the Gulf of Mexico was</w:t>
            </w:r>
            <w:r w:rsidRPr="00C758B5">
              <w:rPr>
                <w:rStyle w:val="apple-converted-space"/>
                <w:rFonts w:ascii="Arial" w:hAnsi="Arial" w:cs="Arial"/>
                <w:color w:val="222222"/>
                <w:sz w:val="20"/>
                <w:szCs w:val="20"/>
                <w:shd w:val="clear" w:color="auto" w:fill="FFFFFF"/>
              </w:rPr>
              <w:t> </w:t>
            </w:r>
            <w:r w:rsidRPr="00C758B5">
              <w:rPr>
                <w:rFonts w:ascii="Arial" w:hAnsi="Arial" w:cs="Arial"/>
                <w:b/>
                <w:bCs/>
                <w:color w:val="222222"/>
                <w:sz w:val="20"/>
                <w:szCs w:val="20"/>
              </w:rPr>
              <w:t>caused</w:t>
            </w:r>
            <w:r w:rsidRPr="00C758B5">
              <w:rPr>
                <w:rStyle w:val="apple-converted-space"/>
                <w:rFonts w:ascii="Arial" w:hAnsi="Arial" w:cs="Arial"/>
                <w:color w:val="222222"/>
                <w:sz w:val="20"/>
                <w:szCs w:val="20"/>
                <w:shd w:val="clear" w:color="auto" w:fill="FFFFFF"/>
              </w:rPr>
              <w:t> </w:t>
            </w:r>
            <w:r w:rsidRPr="00C758B5">
              <w:rPr>
                <w:rFonts w:ascii="Arial" w:hAnsi="Arial" w:cs="Arial"/>
                <w:color w:val="222222"/>
                <w:sz w:val="20"/>
                <w:szCs w:val="20"/>
                <w:shd w:val="clear" w:color="auto" w:fill="FFFFFF"/>
              </w:rPr>
              <w:t>by a flawed well plan that did not include enough cement between the 7-inch production casing and the 9 7/8-inch protection casing. The presumed blowout preventer (BOP) failure is an important but secondary issue.</w:t>
            </w:r>
          </w:p>
          <w:p w14:paraId="11403948" w14:textId="41D30B4B" w:rsidR="00C758B5" w:rsidRPr="00C758B5" w:rsidRDefault="00C758B5" w:rsidP="00657EAC">
            <w:pPr>
              <w:rPr>
                <w:rFonts w:ascii="Arial" w:hAnsi="Arial" w:cs="Arial"/>
                <w:color w:val="222222"/>
                <w:shd w:val="clear" w:color="auto" w:fill="FFFFFF"/>
              </w:rPr>
            </w:pPr>
            <w:r w:rsidRPr="00C758B5">
              <w:rPr>
                <w:rFonts w:ascii="Arial" w:hAnsi="Arial" w:cs="Arial"/>
                <w:color w:val="222222"/>
                <w:sz w:val="20"/>
                <w:szCs w:val="20"/>
                <w:shd w:val="clear" w:color="auto" w:fill="FFFFFF"/>
              </w:rPr>
              <w:t xml:space="preserve">Judge </w:t>
            </w:r>
            <w:proofErr w:type="spellStart"/>
            <w:r w:rsidRPr="00C758B5">
              <w:rPr>
                <w:rFonts w:ascii="Arial" w:hAnsi="Arial" w:cs="Arial"/>
                <w:color w:val="222222"/>
                <w:sz w:val="20"/>
                <w:szCs w:val="20"/>
                <w:shd w:val="clear" w:color="auto" w:fill="FFFFFF"/>
              </w:rPr>
              <w:t>Barbier</w:t>
            </w:r>
            <w:proofErr w:type="spellEnd"/>
            <w:r w:rsidRPr="00C758B5">
              <w:rPr>
                <w:rFonts w:ascii="Arial" w:hAnsi="Arial" w:cs="Arial"/>
                <w:color w:val="222222"/>
                <w:sz w:val="20"/>
                <w:szCs w:val="20"/>
                <w:shd w:val="clear" w:color="auto" w:fill="FFFFFF"/>
              </w:rPr>
              <w:t xml:space="preserve"> said BP should shoulder 67% of the blame for the 2010</w:t>
            </w:r>
            <w:r w:rsidRPr="00C758B5">
              <w:rPr>
                <w:rStyle w:val="apple-converted-space"/>
                <w:rFonts w:ascii="Arial" w:hAnsi="Arial" w:cs="Arial"/>
                <w:color w:val="222222"/>
                <w:sz w:val="20"/>
                <w:szCs w:val="20"/>
                <w:shd w:val="clear" w:color="auto" w:fill="FFFFFF"/>
              </w:rPr>
              <w:t> </w:t>
            </w:r>
            <w:r w:rsidRPr="00C758B5">
              <w:rPr>
                <w:rFonts w:ascii="Arial" w:hAnsi="Arial" w:cs="Arial"/>
                <w:b/>
                <w:bCs/>
                <w:color w:val="222222"/>
                <w:sz w:val="20"/>
                <w:szCs w:val="20"/>
              </w:rPr>
              <w:t>spill</w:t>
            </w:r>
            <w:r w:rsidRPr="00C758B5">
              <w:rPr>
                <w:rFonts w:ascii="Arial" w:hAnsi="Arial" w:cs="Arial"/>
                <w:color w:val="222222"/>
                <w:sz w:val="20"/>
                <w:szCs w:val="20"/>
                <w:shd w:val="clear" w:color="auto" w:fill="FFFFFF"/>
              </w:rPr>
              <w:t>, with drilling rig owner Transocean</w:t>
            </w:r>
            <w:r w:rsidRPr="00C758B5">
              <w:rPr>
                <w:rStyle w:val="apple-converted-space"/>
                <w:rFonts w:ascii="Arial" w:hAnsi="Arial" w:cs="Arial"/>
                <w:color w:val="222222"/>
                <w:sz w:val="20"/>
                <w:szCs w:val="20"/>
                <w:shd w:val="clear" w:color="auto" w:fill="FFFFFF"/>
              </w:rPr>
              <w:t> </w:t>
            </w:r>
            <w:r w:rsidRPr="00C758B5">
              <w:rPr>
                <w:rFonts w:ascii="Arial" w:hAnsi="Arial" w:cs="Arial"/>
                <w:b/>
                <w:bCs/>
                <w:color w:val="222222"/>
                <w:sz w:val="20"/>
                <w:szCs w:val="20"/>
              </w:rPr>
              <w:t>responsible</w:t>
            </w:r>
            <w:r w:rsidRPr="00C758B5">
              <w:rPr>
                <w:rStyle w:val="apple-converted-space"/>
                <w:rFonts w:ascii="Arial" w:hAnsi="Arial" w:cs="Arial"/>
                <w:color w:val="222222"/>
                <w:sz w:val="20"/>
                <w:szCs w:val="20"/>
                <w:shd w:val="clear" w:color="auto" w:fill="FFFFFF"/>
              </w:rPr>
              <w:t> </w:t>
            </w:r>
            <w:r w:rsidRPr="00C758B5">
              <w:rPr>
                <w:rFonts w:ascii="Arial" w:hAnsi="Arial" w:cs="Arial"/>
                <w:color w:val="222222"/>
                <w:sz w:val="20"/>
                <w:szCs w:val="20"/>
                <w:shd w:val="clear" w:color="auto" w:fill="FFFFFF"/>
              </w:rPr>
              <w:t>for 30% and cement firm Halliburton</w:t>
            </w:r>
            <w:r w:rsidRPr="00C758B5">
              <w:rPr>
                <w:rStyle w:val="apple-converted-space"/>
                <w:rFonts w:ascii="Arial" w:hAnsi="Arial" w:cs="Arial"/>
                <w:color w:val="222222"/>
                <w:sz w:val="20"/>
                <w:szCs w:val="20"/>
                <w:shd w:val="clear" w:color="auto" w:fill="FFFFFF"/>
              </w:rPr>
              <w:t> </w:t>
            </w:r>
            <w:r w:rsidRPr="00C758B5">
              <w:rPr>
                <w:rFonts w:ascii="Arial" w:hAnsi="Arial" w:cs="Arial"/>
                <w:b/>
                <w:bCs/>
                <w:color w:val="222222"/>
                <w:sz w:val="20"/>
                <w:szCs w:val="20"/>
              </w:rPr>
              <w:t>responsible</w:t>
            </w:r>
            <w:r w:rsidRPr="00C758B5">
              <w:rPr>
                <w:rStyle w:val="apple-converted-space"/>
                <w:rFonts w:ascii="Arial" w:hAnsi="Arial" w:cs="Arial"/>
                <w:color w:val="222222"/>
                <w:sz w:val="20"/>
                <w:szCs w:val="20"/>
                <w:shd w:val="clear" w:color="auto" w:fill="FFFFFF"/>
              </w:rPr>
              <w:t> </w:t>
            </w:r>
            <w:r w:rsidRPr="00C758B5">
              <w:rPr>
                <w:rFonts w:ascii="Arial" w:hAnsi="Arial" w:cs="Arial"/>
                <w:color w:val="222222"/>
                <w:sz w:val="20"/>
                <w:szCs w:val="20"/>
                <w:shd w:val="clear" w:color="auto" w:fill="FFFFFF"/>
              </w:rPr>
              <w:t>for 3%. He ruled that BP will be "subject to enhanced civil penalties" due to its "gross negligence" and "</w:t>
            </w:r>
            <w:proofErr w:type="spellStart"/>
            <w:r w:rsidRPr="00C758B5">
              <w:rPr>
                <w:rFonts w:ascii="Arial" w:hAnsi="Arial" w:cs="Arial"/>
                <w:color w:val="222222"/>
                <w:sz w:val="20"/>
                <w:szCs w:val="20"/>
                <w:shd w:val="clear" w:color="auto" w:fill="FFFFFF"/>
              </w:rPr>
              <w:t>wilful</w:t>
            </w:r>
            <w:proofErr w:type="spellEnd"/>
            <w:r w:rsidRPr="00C758B5">
              <w:rPr>
                <w:rFonts w:ascii="Arial" w:hAnsi="Arial" w:cs="Arial"/>
                <w:color w:val="222222"/>
                <w:sz w:val="20"/>
                <w:szCs w:val="20"/>
                <w:shd w:val="clear" w:color="auto" w:fill="FFFFFF"/>
              </w:rPr>
              <w:t xml:space="preserve"> misconduct".</w:t>
            </w:r>
            <w:r w:rsidRPr="00C758B5">
              <w:rPr>
                <w:rFonts w:ascii="Arial" w:hAnsi="Arial" w:cs="Arial"/>
                <w:color w:val="222222"/>
                <w:sz w:val="20"/>
                <w:szCs w:val="20"/>
                <w:shd w:val="clear" w:color="auto" w:fill="FFFFFF"/>
              </w:rPr>
              <w:t xml:space="preserve"> </w:t>
            </w:r>
            <w:r w:rsidRPr="00C758B5">
              <w:rPr>
                <w:rFonts w:ascii="Arial" w:hAnsi="Arial" w:cs="Arial"/>
                <w:b/>
                <w:bCs/>
                <w:color w:val="222222"/>
                <w:sz w:val="20"/>
                <w:szCs w:val="20"/>
              </w:rPr>
              <w:t>BP</w:t>
            </w:r>
            <w:r w:rsidRPr="00C758B5">
              <w:rPr>
                <w:rStyle w:val="apple-converted-space"/>
                <w:rFonts w:ascii="Arial" w:hAnsi="Arial" w:cs="Arial"/>
                <w:color w:val="222222"/>
                <w:sz w:val="20"/>
                <w:szCs w:val="20"/>
                <w:shd w:val="clear" w:color="auto" w:fill="FFFFFF"/>
              </w:rPr>
              <w:t> </w:t>
            </w:r>
            <w:r w:rsidRPr="00C758B5">
              <w:rPr>
                <w:rStyle w:val="apple-converted-space"/>
                <w:rFonts w:ascii="Arial" w:hAnsi="Arial" w:cs="Arial"/>
                <w:color w:val="222222"/>
                <w:sz w:val="20"/>
                <w:szCs w:val="20"/>
                <w:shd w:val="clear" w:color="auto" w:fill="FFFFFF"/>
              </w:rPr>
              <w:t>w</w:t>
            </w:r>
            <w:r w:rsidRPr="00C758B5">
              <w:rPr>
                <w:rStyle w:val="apple-converted-space"/>
                <w:sz w:val="20"/>
                <w:szCs w:val="20"/>
              </w:rPr>
              <w:t xml:space="preserve">as </w:t>
            </w:r>
            <w:r w:rsidRPr="00C758B5">
              <w:rPr>
                <w:rFonts w:ascii="Arial" w:hAnsi="Arial" w:cs="Arial"/>
                <w:color w:val="222222"/>
                <w:sz w:val="20"/>
                <w:szCs w:val="20"/>
                <w:shd w:val="clear" w:color="auto" w:fill="FFFFFF"/>
              </w:rPr>
              <w:t>ordered to</w:t>
            </w:r>
            <w:r w:rsidRPr="00C758B5">
              <w:rPr>
                <w:rStyle w:val="apple-converted-space"/>
                <w:rFonts w:ascii="Arial" w:hAnsi="Arial" w:cs="Arial"/>
                <w:color w:val="222222"/>
                <w:sz w:val="20"/>
                <w:szCs w:val="20"/>
                <w:shd w:val="clear" w:color="auto" w:fill="FFFFFF"/>
              </w:rPr>
              <w:t> </w:t>
            </w:r>
            <w:r w:rsidRPr="00C758B5">
              <w:rPr>
                <w:rFonts w:ascii="Arial" w:hAnsi="Arial" w:cs="Arial"/>
                <w:b/>
                <w:bCs/>
                <w:color w:val="222222"/>
                <w:sz w:val="20"/>
                <w:szCs w:val="20"/>
              </w:rPr>
              <w:t>pay</w:t>
            </w:r>
            <w:r w:rsidRPr="00C758B5">
              <w:rPr>
                <w:rStyle w:val="apple-converted-space"/>
                <w:rFonts w:ascii="Arial" w:hAnsi="Arial" w:cs="Arial"/>
                <w:color w:val="222222"/>
                <w:sz w:val="20"/>
                <w:szCs w:val="20"/>
                <w:shd w:val="clear" w:color="auto" w:fill="FFFFFF"/>
              </w:rPr>
              <w:t> </w:t>
            </w:r>
            <w:r w:rsidRPr="00C758B5">
              <w:rPr>
                <w:rFonts w:ascii="Arial" w:hAnsi="Arial" w:cs="Arial"/>
                <w:color w:val="222222"/>
                <w:sz w:val="20"/>
                <w:szCs w:val="20"/>
                <w:shd w:val="clear" w:color="auto" w:fill="FFFFFF"/>
              </w:rPr>
              <w:t>$5.5 billion to settle civil damages claims made by the U.S. as a result of the Deepwater Horizon oil spill. The amount will be</w:t>
            </w:r>
            <w:r w:rsidRPr="00C758B5">
              <w:rPr>
                <w:rStyle w:val="apple-converted-space"/>
                <w:rFonts w:ascii="Arial" w:hAnsi="Arial" w:cs="Arial"/>
                <w:color w:val="222222"/>
                <w:sz w:val="20"/>
                <w:szCs w:val="20"/>
                <w:shd w:val="clear" w:color="auto" w:fill="FFFFFF"/>
              </w:rPr>
              <w:t> </w:t>
            </w:r>
            <w:r w:rsidRPr="00C758B5">
              <w:rPr>
                <w:rFonts w:ascii="Arial" w:hAnsi="Arial" w:cs="Arial"/>
                <w:b/>
                <w:bCs/>
                <w:color w:val="222222"/>
                <w:sz w:val="20"/>
                <w:szCs w:val="20"/>
              </w:rPr>
              <w:t>paid</w:t>
            </w:r>
            <w:r w:rsidRPr="00C758B5">
              <w:rPr>
                <w:rStyle w:val="apple-converted-space"/>
                <w:rFonts w:ascii="Arial" w:hAnsi="Arial" w:cs="Arial"/>
                <w:color w:val="222222"/>
                <w:sz w:val="20"/>
                <w:szCs w:val="20"/>
                <w:shd w:val="clear" w:color="auto" w:fill="FFFFFF"/>
              </w:rPr>
              <w:t> </w:t>
            </w:r>
            <w:r w:rsidRPr="00C758B5">
              <w:rPr>
                <w:rFonts w:ascii="Arial" w:hAnsi="Arial" w:cs="Arial"/>
                <w:color w:val="222222"/>
                <w:sz w:val="20"/>
                <w:szCs w:val="20"/>
                <w:shd w:val="clear" w:color="auto" w:fill="FFFFFF"/>
              </w:rPr>
              <w:t>over the course of 16 years.</w:t>
            </w:r>
          </w:p>
        </w:tc>
        <w:tc>
          <w:tcPr>
            <w:tcW w:w="5390" w:type="dxa"/>
          </w:tcPr>
          <w:p w14:paraId="67E24523" w14:textId="77777777" w:rsidR="00AA304F" w:rsidRPr="00AA304F" w:rsidRDefault="00AA304F" w:rsidP="00657EAC">
            <w:pPr>
              <w:rPr>
                <w:rFonts w:ascii="dearJoe 5 CASUAL PRO" w:hAnsi="dearJoe 5 CASUAL PRO"/>
              </w:rPr>
            </w:pPr>
            <w:r w:rsidRPr="00AA304F">
              <w:rPr>
                <w:rFonts w:ascii="dearJoe 5 CASUAL PRO" w:hAnsi="dearJoe 5 CASUAL PRO"/>
              </w:rPr>
              <w:t>Diagram</w:t>
            </w:r>
          </w:p>
          <w:p w14:paraId="6E834294" w14:textId="77777777" w:rsidR="00AA304F" w:rsidRPr="00AA304F" w:rsidRDefault="00AA304F" w:rsidP="00657EAC">
            <w:pPr>
              <w:rPr>
                <w:rFonts w:ascii="dearJoe 5 CASUAL PRO" w:hAnsi="dearJoe 5 CASUAL PRO"/>
              </w:rPr>
            </w:pPr>
          </w:p>
          <w:p w14:paraId="3C9E1310" w14:textId="77777777" w:rsidR="00AA304F" w:rsidRPr="00AA304F" w:rsidRDefault="00AA304F" w:rsidP="00657EAC">
            <w:pPr>
              <w:rPr>
                <w:rFonts w:ascii="dearJoe 5 CASUAL PRO" w:hAnsi="dearJoe 5 CASUAL PRO"/>
              </w:rPr>
            </w:pPr>
          </w:p>
          <w:p w14:paraId="174E2ADA" w14:textId="77777777" w:rsidR="00AA304F" w:rsidRPr="00AA304F" w:rsidRDefault="00AA304F" w:rsidP="00657EAC">
            <w:pPr>
              <w:rPr>
                <w:rFonts w:ascii="dearJoe 5 CASUAL PRO" w:hAnsi="dearJoe 5 CASUAL PRO"/>
              </w:rPr>
            </w:pPr>
          </w:p>
          <w:p w14:paraId="2CCE9F19" w14:textId="77777777" w:rsidR="00AA304F" w:rsidRPr="00AA304F" w:rsidRDefault="00AA304F" w:rsidP="00657EAC">
            <w:pPr>
              <w:rPr>
                <w:rFonts w:ascii="dearJoe 5 CASUAL PRO" w:hAnsi="dearJoe 5 CASUAL PRO"/>
              </w:rPr>
            </w:pPr>
          </w:p>
          <w:p w14:paraId="0DBA5AE0" w14:textId="77777777" w:rsidR="00AA304F" w:rsidRPr="00AA304F" w:rsidRDefault="00AA304F" w:rsidP="00657EAC">
            <w:pPr>
              <w:rPr>
                <w:rFonts w:ascii="dearJoe 5 CASUAL PRO" w:hAnsi="dearJoe 5 CASUAL PRO"/>
              </w:rPr>
            </w:pPr>
          </w:p>
          <w:p w14:paraId="413D0038" w14:textId="77777777" w:rsidR="00AA304F" w:rsidRPr="00AA304F" w:rsidRDefault="00AA304F" w:rsidP="00657EAC">
            <w:pPr>
              <w:rPr>
                <w:rFonts w:ascii="dearJoe 5 CASUAL PRO" w:hAnsi="dearJoe 5 CASUAL PRO"/>
              </w:rPr>
            </w:pPr>
          </w:p>
          <w:p w14:paraId="5C3E2AB3" w14:textId="77777777" w:rsidR="00AA304F" w:rsidRPr="00AA304F" w:rsidRDefault="00AA304F" w:rsidP="00657EAC">
            <w:pPr>
              <w:rPr>
                <w:rFonts w:ascii="dearJoe 5 CASUAL PRO" w:hAnsi="dearJoe 5 CASUAL PRO"/>
              </w:rPr>
            </w:pPr>
          </w:p>
          <w:p w14:paraId="57F9045F" w14:textId="77777777" w:rsidR="00AA304F" w:rsidRPr="00AA304F" w:rsidRDefault="00AA304F" w:rsidP="00657EAC">
            <w:pPr>
              <w:rPr>
                <w:rFonts w:ascii="dearJoe 5 CASUAL PRO" w:hAnsi="dearJoe 5 CASUAL PRO"/>
              </w:rPr>
            </w:pPr>
          </w:p>
          <w:p w14:paraId="07298735" w14:textId="77777777" w:rsidR="00AA304F" w:rsidRPr="00AA304F" w:rsidRDefault="00AA304F" w:rsidP="00657EAC">
            <w:pPr>
              <w:rPr>
                <w:rFonts w:ascii="dearJoe 5 CASUAL PRO" w:hAnsi="dearJoe 5 CASUAL PRO"/>
              </w:rPr>
            </w:pPr>
          </w:p>
        </w:tc>
      </w:tr>
      <w:tr w:rsidR="00AA304F" w:rsidRPr="00AA304F" w14:paraId="155F5127" w14:textId="77777777" w:rsidTr="00657EAC">
        <w:tc>
          <w:tcPr>
            <w:tcW w:w="5140" w:type="dxa"/>
          </w:tcPr>
          <w:p w14:paraId="042F4022" w14:textId="77777777" w:rsidR="00AA304F" w:rsidRPr="00AA304F" w:rsidRDefault="00AA304F" w:rsidP="00657EAC">
            <w:pPr>
              <w:rPr>
                <w:rFonts w:ascii="dearJoe 5 CASUAL PRO" w:hAnsi="dearJoe 5 CASUAL PRO"/>
                <w:sz w:val="13"/>
                <w:szCs w:val="13"/>
              </w:rPr>
            </w:pPr>
            <w:r w:rsidRPr="00AA304F">
              <w:rPr>
                <w:rFonts w:ascii="dearJoe 5 CASUAL PRO" w:hAnsi="dearJoe 5 CASUAL PRO"/>
                <w:sz w:val="13"/>
                <w:szCs w:val="13"/>
              </w:rPr>
              <w:t>C</w:t>
            </w:r>
          </w:p>
          <w:p w14:paraId="23BC16D8" w14:textId="77777777" w:rsidR="00AA304F" w:rsidRPr="00AA304F" w:rsidRDefault="00AA304F" w:rsidP="00657EAC">
            <w:pPr>
              <w:rPr>
                <w:rFonts w:ascii="dearJoe 5 CASUAL PRO" w:hAnsi="dearJoe 5 CASUAL PRO"/>
                <w:sz w:val="13"/>
                <w:szCs w:val="13"/>
              </w:rPr>
            </w:pPr>
            <w:r w:rsidRPr="00AA304F">
              <w:rPr>
                <w:rFonts w:ascii="dearJoe 5 CASUAL PRO" w:hAnsi="dearJoe 5 CASUAL PRO"/>
                <w:sz w:val="13"/>
                <w:szCs w:val="13"/>
              </w:rPr>
              <w:t>L</w:t>
            </w:r>
          </w:p>
          <w:p w14:paraId="01C522AE" w14:textId="77777777" w:rsidR="00AA304F" w:rsidRPr="00AA304F" w:rsidRDefault="00AA304F" w:rsidP="00657EAC">
            <w:pPr>
              <w:rPr>
                <w:rFonts w:ascii="dearJoe 5 CASUAL PRO" w:hAnsi="dearJoe 5 CASUAL PRO"/>
                <w:sz w:val="13"/>
                <w:szCs w:val="13"/>
              </w:rPr>
            </w:pPr>
            <w:r w:rsidRPr="00AA304F">
              <w:rPr>
                <w:rFonts w:ascii="dearJoe 5 CASUAL PRO" w:hAnsi="dearJoe 5 CASUAL PRO"/>
                <w:sz w:val="13"/>
                <w:szCs w:val="13"/>
              </w:rPr>
              <w:t>A</w:t>
            </w:r>
          </w:p>
          <w:p w14:paraId="02D02842" w14:textId="77777777" w:rsidR="00AA304F" w:rsidRPr="00AA304F" w:rsidRDefault="00AA304F" w:rsidP="00657EAC">
            <w:pPr>
              <w:rPr>
                <w:rFonts w:ascii="dearJoe 5 CASUAL PRO" w:hAnsi="dearJoe 5 CASUAL PRO"/>
              </w:rPr>
            </w:pPr>
            <w:r w:rsidRPr="00AA304F">
              <w:rPr>
                <w:rFonts w:ascii="dearJoe 5 CASUAL PRO" w:hAnsi="dearJoe 5 CASUAL PRO"/>
              </w:rPr>
              <w:t>Stakeholders</w:t>
            </w:r>
          </w:p>
          <w:p w14:paraId="06A5248E" w14:textId="77777777" w:rsidR="00AA304F" w:rsidRPr="00AA304F" w:rsidRDefault="00AA304F" w:rsidP="00657EAC">
            <w:pPr>
              <w:rPr>
                <w:rFonts w:ascii="dearJoe 5 CASUAL PRO" w:hAnsi="dearJoe 5 CASUAL PRO"/>
              </w:rPr>
            </w:pPr>
          </w:p>
          <w:p w14:paraId="08780505" w14:textId="77777777" w:rsidR="00AA304F" w:rsidRPr="00AA304F" w:rsidRDefault="00AA304F" w:rsidP="00657EAC">
            <w:pPr>
              <w:rPr>
                <w:rFonts w:ascii="dearJoe 5 CASUAL PRO" w:hAnsi="dearJoe 5 CASUAL PRO"/>
              </w:rPr>
            </w:pPr>
          </w:p>
          <w:p w14:paraId="7F654DD2" w14:textId="77777777" w:rsidR="00AA304F" w:rsidRPr="00AA304F" w:rsidRDefault="00AA304F" w:rsidP="00657EAC">
            <w:pPr>
              <w:rPr>
                <w:rFonts w:ascii="dearJoe 5 CASUAL PRO" w:hAnsi="dearJoe 5 CASUAL PRO"/>
              </w:rPr>
            </w:pPr>
          </w:p>
          <w:p w14:paraId="6C675C79" w14:textId="77777777" w:rsidR="00AA304F" w:rsidRPr="00AA304F" w:rsidRDefault="00AA304F" w:rsidP="00657EAC">
            <w:pPr>
              <w:rPr>
                <w:rFonts w:ascii="dearJoe 5 CASUAL PRO" w:hAnsi="dearJoe 5 CASUAL PRO"/>
              </w:rPr>
            </w:pPr>
          </w:p>
          <w:p w14:paraId="545374D5" w14:textId="77777777" w:rsidR="00AA304F" w:rsidRPr="00AA304F" w:rsidRDefault="00AA304F" w:rsidP="00657EAC">
            <w:pPr>
              <w:rPr>
                <w:rFonts w:ascii="dearJoe 5 CASUAL PRO" w:hAnsi="dearJoe 5 CASUAL PRO"/>
              </w:rPr>
            </w:pPr>
          </w:p>
          <w:p w14:paraId="20B5F85B" w14:textId="77777777" w:rsidR="00AA304F" w:rsidRPr="00AA304F" w:rsidRDefault="00AA304F" w:rsidP="00657EAC">
            <w:pPr>
              <w:rPr>
                <w:rFonts w:ascii="dearJoe 5 CASUAL PRO" w:hAnsi="dearJoe 5 CASUAL PRO"/>
              </w:rPr>
            </w:pPr>
            <w:r w:rsidRPr="00AA304F">
              <w:rPr>
                <w:rFonts w:ascii="dearJoe 5 CASUAL PRO" w:hAnsi="dearJoe 5 CASUAL PRO"/>
              </w:rPr>
              <w:t>Pros and cons</w:t>
            </w:r>
          </w:p>
          <w:p w14:paraId="000580E5" w14:textId="77777777" w:rsidR="00AA304F" w:rsidRPr="00AA304F" w:rsidRDefault="00AA304F" w:rsidP="00657EAC">
            <w:pPr>
              <w:rPr>
                <w:rFonts w:ascii="dearJoe 5 CASUAL PRO" w:hAnsi="dearJoe 5 CASUAL PRO"/>
              </w:rPr>
            </w:pPr>
          </w:p>
          <w:p w14:paraId="43973BE4" w14:textId="2E8BB954" w:rsidR="00AA304F" w:rsidRDefault="00AA304F" w:rsidP="00657EAC">
            <w:pPr>
              <w:rPr>
                <w:rFonts w:ascii="dearJoe 5 CASUAL PRO" w:hAnsi="dearJoe 5 CASUAL PRO"/>
              </w:rPr>
            </w:pPr>
          </w:p>
          <w:p w14:paraId="415192EC" w14:textId="77777777" w:rsidR="00C758B5" w:rsidRPr="00AA304F" w:rsidRDefault="00C758B5" w:rsidP="00657EAC">
            <w:pPr>
              <w:rPr>
                <w:rFonts w:ascii="dearJoe 5 CASUAL PRO" w:hAnsi="dearJoe 5 CASUAL PRO"/>
              </w:rPr>
            </w:pPr>
          </w:p>
          <w:p w14:paraId="1BE170E6" w14:textId="77777777" w:rsidR="00AA304F" w:rsidRPr="00AA304F" w:rsidRDefault="00AA304F" w:rsidP="00657EAC">
            <w:pPr>
              <w:rPr>
                <w:rFonts w:ascii="dearJoe 5 CASUAL PRO" w:hAnsi="dearJoe 5 CASUAL PRO"/>
              </w:rPr>
            </w:pPr>
          </w:p>
          <w:p w14:paraId="32B4DD94" w14:textId="77777777" w:rsidR="00AA304F" w:rsidRPr="00AA304F" w:rsidRDefault="00AA304F" w:rsidP="00657EAC">
            <w:pPr>
              <w:rPr>
                <w:rFonts w:ascii="dearJoe 5 CASUAL PRO" w:hAnsi="dearJoe 5 CASUAL PRO"/>
              </w:rPr>
            </w:pPr>
            <w:r w:rsidRPr="00AA304F">
              <w:rPr>
                <w:rFonts w:ascii="dearJoe 5 CASUAL PRO" w:hAnsi="dearJoe 5 CASUAL PRO"/>
              </w:rPr>
              <w:t>Priorities</w:t>
            </w:r>
          </w:p>
          <w:p w14:paraId="5FA54F2E" w14:textId="77777777" w:rsidR="00AA304F" w:rsidRPr="00AA304F" w:rsidRDefault="00AA304F" w:rsidP="00657EAC">
            <w:pPr>
              <w:rPr>
                <w:rFonts w:ascii="dearJoe 5 CASUAL PRO" w:hAnsi="dearJoe 5 CASUAL PRO"/>
              </w:rPr>
            </w:pPr>
          </w:p>
          <w:p w14:paraId="63DB7E70" w14:textId="77777777" w:rsidR="00AA304F" w:rsidRPr="00AA304F" w:rsidRDefault="00AA304F" w:rsidP="00657EAC">
            <w:pPr>
              <w:rPr>
                <w:rFonts w:ascii="dearJoe 5 CASUAL PRO" w:hAnsi="dearJoe 5 CASUAL PRO"/>
              </w:rPr>
            </w:pPr>
          </w:p>
          <w:p w14:paraId="768E69A6" w14:textId="77777777" w:rsidR="00AA304F" w:rsidRPr="00AA304F" w:rsidRDefault="00AA304F" w:rsidP="00657EAC">
            <w:pPr>
              <w:rPr>
                <w:rFonts w:ascii="dearJoe 5 CASUAL PRO" w:hAnsi="dearJoe 5 CASUAL PRO"/>
              </w:rPr>
            </w:pPr>
          </w:p>
          <w:p w14:paraId="5077F2C6" w14:textId="77777777" w:rsidR="00AA304F" w:rsidRPr="00AA304F" w:rsidRDefault="00AA304F" w:rsidP="00657EAC">
            <w:pPr>
              <w:rPr>
                <w:rFonts w:ascii="dearJoe 5 CASUAL PRO" w:hAnsi="dearJoe 5 CASUAL PRO"/>
              </w:rPr>
            </w:pPr>
          </w:p>
        </w:tc>
        <w:tc>
          <w:tcPr>
            <w:tcW w:w="5390" w:type="dxa"/>
          </w:tcPr>
          <w:p w14:paraId="24A97E4F" w14:textId="77777777" w:rsidR="00AA304F" w:rsidRPr="00AA304F" w:rsidRDefault="00AA304F" w:rsidP="00657EAC">
            <w:pPr>
              <w:rPr>
                <w:rFonts w:ascii="dearJoe 5 CASUAL PRO" w:hAnsi="dearJoe 5 CASUAL PRO"/>
              </w:rPr>
            </w:pPr>
            <w:r w:rsidRPr="00AA304F">
              <w:rPr>
                <w:rFonts w:ascii="dearJoe 5 CASUAL PRO" w:hAnsi="dearJoe 5 CASUAL PRO"/>
              </w:rPr>
              <w:t>Conclusion – Why is this policy preferred over others?</w:t>
            </w:r>
          </w:p>
        </w:tc>
      </w:tr>
    </w:tbl>
    <w:p w14:paraId="65FCF1EF" w14:textId="343F589E" w:rsidR="00AA304F" w:rsidRPr="00AA304F" w:rsidRDefault="00AA304F">
      <w:pPr>
        <w:rPr>
          <w:rFonts w:ascii="dearJoe 5 CASUAL PRO" w:hAnsi="dearJoe 5 CASUAL PRO"/>
        </w:rPr>
      </w:pPr>
    </w:p>
    <w:tbl>
      <w:tblPr>
        <w:tblStyle w:val="TableGrid"/>
        <w:tblW w:w="10530" w:type="dxa"/>
        <w:tblInd w:w="-635" w:type="dxa"/>
        <w:tblLook w:val="04A0" w:firstRow="1" w:lastRow="0" w:firstColumn="1" w:lastColumn="0" w:noHBand="0" w:noVBand="1"/>
      </w:tblPr>
      <w:tblGrid>
        <w:gridCol w:w="5140"/>
        <w:gridCol w:w="5390"/>
      </w:tblGrid>
      <w:tr w:rsidR="00AA304F" w:rsidRPr="00AA304F" w14:paraId="4C459595" w14:textId="77777777" w:rsidTr="00657EAC">
        <w:tc>
          <w:tcPr>
            <w:tcW w:w="5140" w:type="dxa"/>
          </w:tcPr>
          <w:p w14:paraId="04B8FE58" w14:textId="0CD400A7" w:rsidR="00AA304F" w:rsidRPr="00AA304F" w:rsidRDefault="00AA304F" w:rsidP="00657EAC">
            <w:pPr>
              <w:rPr>
                <w:rFonts w:ascii="dearJoe 5 CASUAL PRO" w:hAnsi="dearJoe 5 CASUAL PRO"/>
              </w:rPr>
            </w:pPr>
            <w:r w:rsidRPr="00AA304F">
              <w:rPr>
                <w:rFonts w:ascii="dearJoe 5 CASUAL PRO" w:hAnsi="dearJoe 5 CASUAL PRO"/>
              </w:rPr>
              <w:lastRenderedPageBreak/>
              <w:t>News story</w:t>
            </w:r>
          </w:p>
          <w:p w14:paraId="721D909A" w14:textId="2E52BB7D" w:rsidR="00C758B5" w:rsidRDefault="00C758B5" w:rsidP="00C758B5">
            <w:pPr>
              <w:pStyle w:val="css-exrw3m"/>
              <w:textAlignment w:val="baseline"/>
              <w:rPr>
                <w:rFonts w:ascii="Georgia" w:hAnsi="Georgia"/>
                <w:color w:val="333333"/>
              </w:rPr>
            </w:pPr>
            <w:r>
              <w:rPr>
                <w:rFonts w:ascii="Georgia" w:hAnsi="Georgia"/>
                <w:noProof/>
                <w:color w:val="333333"/>
              </w:rPr>
              <w:drawing>
                <wp:inline distT="0" distB="0" distL="0" distR="0" wp14:anchorId="36EF6A2D" wp14:editId="76CFC34D">
                  <wp:extent cx="2984361" cy="114592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g"/>
                          <pic:cNvPicPr/>
                        </pic:nvPicPr>
                        <pic:blipFill>
                          <a:blip r:embed="rId16">
                            <a:extLst>
                              <a:ext uri="{28A0092B-C50C-407E-A947-70E740481C1C}">
                                <a14:useLocalDpi xmlns:a14="http://schemas.microsoft.com/office/drawing/2010/main" val="0"/>
                              </a:ext>
                            </a:extLst>
                          </a:blip>
                          <a:stretch>
                            <a:fillRect/>
                          </a:stretch>
                        </pic:blipFill>
                        <pic:spPr>
                          <a:xfrm>
                            <a:off x="0" y="0"/>
                            <a:ext cx="3007104" cy="1154662"/>
                          </a:xfrm>
                          <a:prstGeom prst="rect">
                            <a:avLst/>
                          </a:prstGeom>
                        </pic:spPr>
                      </pic:pic>
                    </a:graphicData>
                  </a:graphic>
                </wp:inline>
              </w:drawing>
            </w:r>
          </w:p>
          <w:p w14:paraId="39E601AF" w14:textId="25D18665" w:rsidR="00C758B5" w:rsidRDefault="00C758B5" w:rsidP="00C758B5">
            <w:pPr>
              <w:pStyle w:val="css-exrw3m"/>
              <w:textAlignment w:val="baseline"/>
              <w:rPr>
                <w:rFonts w:ascii="Georgia" w:hAnsi="Georgia"/>
                <w:color w:val="333333"/>
              </w:rPr>
            </w:pPr>
            <w:r>
              <w:rPr>
                <w:rFonts w:ascii="Georgia" w:hAnsi="Georgia"/>
                <w:color w:val="333333"/>
              </w:rPr>
              <w:t>Cases of lung illness and deaths from vaping have tapered off since peaking in September, health officials said on Thursday, but the outbreak also reached a grim new milestone: The youngest death, of a 15-year-old, was reported by Dallas County Health and Human Services.</w:t>
            </w:r>
          </w:p>
          <w:p w14:paraId="628211BF" w14:textId="4774DB39" w:rsidR="00AA304F" w:rsidRPr="00CF094C" w:rsidRDefault="00C758B5" w:rsidP="00CF094C">
            <w:pPr>
              <w:pStyle w:val="css-exrw3m"/>
              <w:spacing w:before="0" w:after="0"/>
              <w:textAlignment w:val="baseline"/>
              <w:rPr>
                <w:rFonts w:ascii="Georgia" w:hAnsi="Georgia"/>
                <w:color w:val="333333"/>
              </w:rPr>
            </w:pPr>
            <w:r>
              <w:rPr>
                <w:rFonts w:ascii="Georgia" w:hAnsi="Georgia"/>
                <w:color w:val="333333"/>
              </w:rPr>
              <w:t>The teenager had “a chronic underlying medical condition,” Texas officials said in</w:t>
            </w:r>
            <w:r>
              <w:rPr>
                <w:rStyle w:val="apple-converted-space"/>
                <w:rFonts w:ascii="Georgia" w:hAnsi="Georgia"/>
                <w:color w:val="333333"/>
              </w:rPr>
              <w:t> </w:t>
            </w:r>
            <w:hyperlink r:id="rId17" w:tgtFrame="_blank" w:history="1">
              <w:r>
                <w:rPr>
                  <w:rStyle w:val="Hyperlink"/>
                  <w:rFonts w:ascii="inherit" w:hAnsi="inherit"/>
                  <w:color w:val="326891"/>
                  <w:bdr w:val="none" w:sz="0" w:space="0" w:color="auto" w:frame="1"/>
                </w:rPr>
                <w:t>a statement</w:t>
              </w:r>
            </w:hyperlink>
            <w:r>
              <w:rPr>
                <w:rStyle w:val="apple-converted-space"/>
                <w:rFonts w:ascii="Georgia" w:hAnsi="Georgia"/>
                <w:color w:val="333333"/>
              </w:rPr>
              <w:t> </w:t>
            </w:r>
            <w:r>
              <w:rPr>
                <w:rFonts w:ascii="Georgia" w:hAnsi="Georgia"/>
                <w:color w:val="333333"/>
              </w:rPr>
              <w:t>on Dec. 31, but they did not identify the condition, the patient’s gender or what products the patient had been vaping.</w:t>
            </w:r>
          </w:p>
        </w:tc>
        <w:tc>
          <w:tcPr>
            <w:tcW w:w="5390" w:type="dxa"/>
          </w:tcPr>
          <w:p w14:paraId="32EFB789" w14:textId="77777777" w:rsidR="00AA304F" w:rsidRPr="00AA304F" w:rsidRDefault="00AA304F" w:rsidP="00657EAC">
            <w:pPr>
              <w:rPr>
                <w:rFonts w:ascii="dearJoe 5 CASUAL PRO" w:hAnsi="dearJoe 5 CASUAL PRO"/>
              </w:rPr>
            </w:pPr>
            <w:r w:rsidRPr="00AA304F">
              <w:rPr>
                <w:rFonts w:ascii="dearJoe 5 CASUAL PRO" w:hAnsi="dearJoe 5 CASUAL PRO"/>
              </w:rPr>
              <w:t>Diagram</w:t>
            </w:r>
          </w:p>
          <w:p w14:paraId="3160D2DE" w14:textId="77777777" w:rsidR="00AA304F" w:rsidRPr="00AA304F" w:rsidRDefault="00AA304F" w:rsidP="00657EAC">
            <w:pPr>
              <w:rPr>
                <w:rFonts w:ascii="dearJoe 5 CASUAL PRO" w:hAnsi="dearJoe 5 CASUAL PRO"/>
              </w:rPr>
            </w:pPr>
          </w:p>
          <w:p w14:paraId="6A866F27" w14:textId="77777777" w:rsidR="00AA304F" w:rsidRPr="00AA304F" w:rsidRDefault="00AA304F" w:rsidP="00657EAC">
            <w:pPr>
              <w:rPr>
                <w:rFonts w:ascii="dearJoe 5 CASUAL PRO" w:hAnsi="dearJoe 5 CASUAL PRO"/>
              </w:rPr>
            </w:pPr>
          </w:p>
          <w:p w14:paraId="42632992" w14:textId="77777777" w:rsidR="00AA304F" w:rsidRPr="00AA304F" w:rsidRDefault="00AA304F" w:rsidP="00657EAC">
            <w:pPr>
              <w:rPr>
                <w:rFonts w:ascii="dearJoe 5 CASUAL PRO" w:hAnsi="dearJoe 5 CASUAL PRO"/>
              </w:rPr>
            </w:pPr>
          </w:p>
          <w:p w14:paraId="713EB049" w14:textId="77777777" w:rsidR="00AA304F" w:rsidRPr="00AA304F" w:rsidRDefault="00AA304F" w:rsidP="00657EAC">
            <w:pPr>
              <w:rPr>
                <w:rFonts w:ascii="dearJoe 5 CASUAL PRO" w:hAnsi="dearJoe 5 CASUAL PRO"/>
              </w:rPr>
            </w:pPr>
          </w:p>
          <w:p w14:paraId="0CFDD017" w14:textId="77777777" w:rsidR="00AA304F" w:rsidRPr="00AA304F" w:rsidRDefault="00AA304F" w:rsidP="00657EAC">
            <w:pPr>
              <w:rPr>
                <w:rFonts w:ascii="dearJoe 5 CASUAL PRO" w:hAnsi="dearJoe 5 CASUAL PRO"/>
              </w:rPr>
            </w:pPr>
          </w:p>
          <w:p w14:paraId="0024C7AB" w14:textId="77777777" w:rsidR="00AA304F" w:rsidRPr="00AA304F" w:rsidRDefault="00AA304F" w:rsidP="00657EAC">
            <w:pPr>
              <w:rPr>
                <w:rFonts w:ascii="dearJoe 5 CASUAL PRO" w:hAnsi="dearJoe 5 CASUAL PRO"/>
              </w:rPr>
            </w:pPr>
          </w:p>
          <w:p w14:paraId="1E0C9F46" w14:textId="77777777" w:rsidR="00AA304F" w:rsidRPr="00AA304F" w:rsidRDefault="00AA304F" w:rsidP="00657EAC">
            <w:pPr>
              <w:rPr>
                <w:rFonts w:ascii="dearJoe 5 CASUAL PRO" w:hAnsi="dearJoe 5 CASUAL PRO"/>
              </w:rPr>
            </w:pPr>
          </w:p>
          <w:p w14:paraId="65470417" w14:textId="77777777" w:rsidR="00AA304F" w:rsidRPr="00AA304F" w:rsidRDefault="00AA304F" w:rsidP="00657EAC">
            <w:pPr>
              <w:rPr>
                <w:rFonts w:ascii="dearJoe 5 CASUAL PRO" w:hAnsi="dearJoe 5 CASUAL PRO"/>
              </w:rPr>
            </w:pPr>
          </w:p>
          <w:p w14:paraId="7074CF67" w14:textId="77777777" w:rsidR="00AA304F" w:rsidRPr="00AA304F" w:rsidRDefault="00AA304F" w:rsidP="00657EAC">
            <w:pPr>
              <w:rPr>
                <w:rFonts w:ascii="dearJoe 5 CASUAL PRO" w:hAnsi="dearJoe 5 CASUAL PRO"/>
              </w:rPr>
            </w:pPr>
          </w:p>
        </w:tc>
      </w:tr>
      <w:tr w:rsidR="00AA304F" w:rsidRPr="00AA304F" w14:paraId="10E19C72" w14:textId="77777777" w:rsidTr="00657EAC">
        <w:tc>
          <w:tcPr>
            <w:tcW w:w="5140" w:type="dxa"/>
          </w:tcPr>
          <w:p w14:paraId="24885603" w14:textId="77777777" w:rsidR="00AA304F" w:rsidRPr="00AA304F" w:rsidRDefault="00AA304F" w:rsidP="00657EAC">
            <w:pPr>
              <w:rPr>
                <w:rFonts w:ascii="dearJoe 5 CASUAL PRO" w:hAnsi="dearJoe 5 CASUAL PRO"/>
                <w:sz w:val="13"/>
                <w:szCs w:val="13"/>
              </w:rPr>
            </w:pPr>
            <w:r w:rsidRPr="00AA304F">
              <w:rPr>
                <w:rFonts w:ascii="dearJoe 5 CASUAL PRO" w:hAnsi="dearJoe 5 CASUAL PRO"/>
                <w:sz w:val="13"/>
                <w:szCs w:val="13"/>
              </w:rPr>
              <w:t>C</w:t>
            </w:r>
          </w:p>
          <w:p w14:paraId="1D58859D" w14:textId="77777777" w:rsidR="00AA304F" w:rsidRPr="00AA304F" w:rsidRDefault="00AA304F" w:rsidP="00657EAC">
            <w:pPr>
              <w:rPr>
                <w:rFonts w:ascii="dearJoe 5 CASUAL PRO" w:hAnsi="dearJoe 5 CASUAL PRO"/>
                <w:sz w:val="13"/>
                <w:szCs w:val="13"/>
              </w:rPr>
            </w:pPr>
            <w:r w:rsidRPr="00AA304F">
              <w:rPr>
                <w:rFonts w:ascii="dearJoe 5 CASUAL PRO" w:hAnsi="dearJoe 5 CASUAL PRO"/>
                <w:sz w:val="13"/>
                <w:szCs w:val="13"/>
              </w:rPr>
              <w:t>L</w:t>
            </w:r>
          </w:p>
          <w:p w14:paraId="680A8750" w14:textId="77777777" w:rsidR="00AA304F" w:rsidRPr="00AA304F" w:rsidRDefault="00AA304F" w:rsidP="00657EAC">
            <w:pPr>
              <w:rPr>
                <w:rFonts w:ascii="dearJoe 5 CASUAL PRO" w:hAnsi="dearJoe 5 CASUAL PRO"/>
                <w:sz w:val="13"/>
                <w:szCs w:val="13"/>
              </w:rPr>
            </w:pPr>
            <w:r w:rsidRPr="00AA304F">
              <w:rPr>
                <w:rFonts w:ascii="dearJoe 5 CASUAL PRO" w:hAnsi="dearJoe 5 CASUAL PRO"/>
                <w:sz w:val="13"/>
                <w:szCs w:val="13"/>
              </w:rPr>
              <w:t>A</w:t>
            </w:r>
          </w:p>
          <w:p w14:paraId="76F5F980" w14:textId="77777777" w:rsidR="00AA304F" w:rsidRPr="00AA304F" w:rsidRDefault="00AA304F" w:rsidP="00657EAC">
            <w:pPr>
              <w:rPr>
                <w:rFonts w:ascii="dearJoe 5 CASUAL PRO" w:hAnsi="dearJoe 5 CASUAL PRO"/>
              </w:rPr>
            </w:pPr>
            <w:r w:rsidRPr="00AA304F">
              <w:rPr>
                <w:rFonts w:ascii="dearJoe 5 CASUAL PRO" w:hAnsi="dearJoe 5 CASUAL PRO"/>
              </w:rPr>
              <w:t>Stakeholders</w:t>
            </w:r>
          </w:p>
          <w:p w14:paraId="5571A3DA" w14:textId="77777777" w:rsidR="00AA304F" w:rsidRPr="00AA304F" w:rsidRDefault="00AA304F" w:rsidP="00657EAC">
            <w:pPr>
              <w:rPr>
                <w:rFonts w:ascii="dearJoe 5 CASUAL PRO" w:hAnsi="dearJoe 5 CASUAL PRO"/>
              </w:rPr>
            </w:pPr>
          </w:p>
          <w:p w14:paraId="03A7C1E2" w14:textId="77777777" w:rsidR="00AA304F" w:rsidRPr="00AA304F" w:rsidRDefault="00AA304F" w:rsidP="00657EAC">
            <w:pPr>
              <w:rPr>
                <w:rFonts w:ascii="dearJoe 5 CASUAL PRO" w:hAnsi="dearJoe 5 CASUAL PRO"/>
              </w:rPr>
            </w:pPr>
          </w:p>
          <w:p w14:paraId="55C5ACDA" w14:textId="77777777" w:rsidR="00AA304F" w:rsidRPr="00AA304F" w:rsidRDefault="00AA304F" w:rsidP="00657EAC">
            <w:pPr>
              <w:rPr>
                <w:rFonts w:ascii="dearJoe 5 CASUAL PRO" w:hAnsi="dearJoe 5 CASUAL PRO"/>
              </w:rPr>
            </w:pPr>
          </w:p>
          <w:p w14:paraId="1B85186A" w14:textId="77777777" w:rsidR="00AA304F" w:rsidRPr="00AA304F" w:rsidRDefault="00AA304F" w:rsidP="00657EAC">
            <w:pPr>
              <w:rPr>
                <w:rFonts w:ascii="dearJoe 5 CASUAL PRO" w:hAnsi="dearJoe 5 CASUAL PRO"/>
              </w:rPr>
            </w:pPr>
          </w:p>
          <w:p w14:paraId="5C065F97" w14:textId="77777777" w:rsidR="00AA304F" w:rsidRPr="00AA304F" w:rsidRDefault="00AA304F" w:rsidP="00657EAC">
            <w:pPr>
              <w:rPr>
                <w:rFonts w:ascii="dearJoe 5 CASUAL PRO" w:hAnsi="dearJoe 5 CASUAL PRO"/>
              </w:rPr>
            </w:pPr>
          </w:p>
          <w:p w14:paraId="7B8E0FD3" w14:textId="77777777" w:rsidR="00AA304F" w:rsidRPr="00AA304F" w:rsidRDefault="00AA304F" w:rsidP="00657EAC">
            <w:pPr>
              <w:rPr>
                <w:rFonts w:ascii="dearJoe 5 CASUAL PRO" w:hAnsi="dearJoe 5 CASUAL PRO"/>
              </w:rPr>
            </w:pPr>
            <w:r w:rsidRPr="00AA304F">
              <w:rPr>
                <w:rFonts w:ascii="dearJoe 5 CASUAL PRO" w:hAnsi="dearJoe 5 CASUAL PRO"/>
              </w:rPr>
              <w:t>Pros and cons</w:t>
            </w:r>
          </w:p>
          <w:p w14:paraId="1402080B" w14:textId="77777777" w:rsidR="00AA304F" w:rsidRPr="00AA304F" w:rsidRDefault="00AA304F" w:rsidP="00657EAC">
            <w:pPr>
              <w:rPr>
                <w:rFonts w:ascii="dearJoe 5 CASUAL PRO" w:hAnsi="dearJoe 5 CASUAL PRO"/>
              </w:rPr>
            </w:pPr>
          </w:p>
          <w:p w14:paraId="2CFB412C" w14:textId="77777777" w:rsidR="00AA304F" w:rsidRPr="00AA304F" w:rsidRDefault="00AA304F" w:rsidP="00657EAC">
            <w:pPr>
              <w:rPr>
                <w:rFonts w:ascii="dearJoe 5 CASUAL PRO" w:hAnsi="dearJoe 5 CASUAL PRO"/>
              </w:rPr>
            </w:pPr>
          </w:p>
          <w:p w14:paraId="3E001126" w14:textId="77777777" w:rsidR="00AA304F" w:rsidRPr="00AA304F" w:rsidRDefault="00AA304F" w:rsidP="00657EAC">
            <w:pPr>
              <w:rPr>
                <w:rFonts w:ascii="dearJoe 5 CASUAL PRO" w:hAnsi="dearJoe 5 CASUAL PRO"/>
              </w:rPr>
            </w:pPr>
          </w:p>
          <w:p w14:paraId="239EA251" w14:textId="77777777" w:rsidR="00AA304F" w:rsidRPr="00AA304F" w:rsidRDefault="00AA304F" w:rsidP="00657EAC">
            <w:pPr>
              <w:rPr>
                <w:rFonts w:ascii="dearJoe 5 CASUAL PRO" w:hAnsi="dearJoe 5 CASUAL PRO"/>
              </w:rPr>
            </w:pPr>
          </w:p>
          <w:p w14:paraId="17C5CA28" w14:textId="77777777" w:rsidR="00AA304F" w:rsidRPr="00AA304F" w:rsidRDefault="00AA304F" w:rsidP="00657EAC">
            <w:pPr>
              <w:rPr>
                <w:rFonts w:ascii="dearJoe 5 CASUAL PRO" w:hAnsi="dearJoe 5 CASUAL PRO"/>
              </w:rPr>
            </w:pPr>
          </w:p>
          <w:p w14:paraId="19E91402" w14:textId="77777777" w:rsidR="00AA304F" w:rsidRPr="00AA304F" w:rsidRDefault="00AA304F" w:rsidP="00657EAC">
            <w:pPr>
              <w:rPr>
                <w:rFonts w:ascii="dearJoe 5 CASUAL PRO" w:hAnsi="dearJoe 5 CASUAL PRO"/>
              </w:rPr>
            </w:pPr>
            <w:r w:rsidRPr="00AA304F">
              <w:rPr>
                <w:rFonts w:ascii="dearJoe 5 CASUAL PRO" w:hAnsi="dearJoe 5 CASUAL PRO"/>
              </w:rPr>
              <w:t>Priorities</w:t>
            </w:r>
          </w:p>
          <w:p w14:paraId="1DB16267" w14:textId="77777777" w:rsidR="00AA304F" w:rsidRPr="00AA304F" w:rsidRDefault="00AA304F" w:rsidP="00657EAC">
            <w:pPr>
              <w:rPr>
                <w:rFonts w:ascii="dearJoe 5 CASUAL PRO" w:hAnsi="dearJoe 5 CASUAL PRO"/>
              </w:rPr>
            </w:pPr>
          </w:p>
          <w:p w14:paraId="3918BC72" w14:textId="77777777" w:rsidR="00AA304F" w:rsidRPr="00AA304F" w:rsidRDefault="00AA304F" w:rsidP="00657EAC">
            <w:pPr>
              <w:rPr>
                <w:rFonts w:ascii="dearJoe 5 CASUAL PRO" w:hAnsi="dearJoe 5 CASUAL PRO"/>
              </w:rPr>
            </w:pPr>
          </w:p>
          <w:p w14:paraId="05022FA5" w14:textId="77777777" w:rsidR="00AA304F" w:rsidRPr="00AA304F" w:rsidRDefault="00AA304F" w:rsidP="00657EAC">
            <w:pPr>
              <w:rPr>
                <w:rFonts w:ascii="dearJoe 5 CASUAL PRO" w:hAnsi="dearJoe 5 CASUAL PRO"/>
              </w:rPr>
            </w:pPr>
          </w:p>
          <w:p w14:paraId="3FEA7255" w14:textId="77777777" w:rsidR="00AA304F" w:rsidRPr="00AA304F" w:rsidRDefault="00AA304F" w:rsidP="00657EAC">
            <w:pPr>
              <w:rPr>
                <w:rFonts w:ascii="dearJoe 5 CASUAL PRO" w:hAnsi="dearJoe 5 CASUAL PRO"/>
              </w:rPr>
            </w:pPr>
          </w:p>
        </w:tc>
        <w:tc>
          <w:tcPr>
            <w:tcW w:w="5390" w:type="dxa"/>
          </w:tcPr>
          <w:p w14:paraId="2030F2DC" w14:textId="77777777" w:rsidR="00AA304F" w:rsidRPr="00AA304F" w:rsidRDefault="00AA304F" w:rsidP="00657EAC">
            <w:pPr>
              <w:rPr>
                <w:rFonts w:ascii="dearJoe 5 CASUAL PRO" w:hAnsi="dearJoe 5 CASUAL PRO"/>
              </w:rPr>
            </w:pPr>
            <w:r w:rsidRPr="00AA304F">
              <w:rPr>
                <w:rFonts w:ascii="dearJoe 5 CASUAL PRO" w:hAnsi="dearJoe 5 CASUAL PRO"/>
              </w:rPr>
              <w:t>Conclusion – Why is this policy preferred over others?</w:t>
            </w:r>
          </w:p>
        </w:tc>
      </w:tr>
    </w:tbl>
    <w:p w14:paraId="7D376B9A" w14:textId="5227FAB7" w:rsidR="00AA304F" w:rsidRPr="00AA304F" w:rsidRDefault="00AA304F">
      <w:pPr>
        <w:rPr>
          <w:rFonts w:ascii="dearJoe 5 CASUAL PRO" w:hAnsi="dearJoe 5 CASUAL PRO"/>
        </w:rPr>
      </w:pPr>
    </w:p>
    <w:tbl>
      <w:tblPr>
        <w:tblStyle w:val="TableGrid"/>
        <w:tblW w:w="10530" w:type="dxa"/>
        <w:tblInd w:w="-635" w:type="dxa"/>
        <w:tblLook w:val="04A0" w:firstRow="1" w:lastRow="0" w:firstColumn="1" w:lastColumn="0" w:noHBand="0" w:noVBand="1"/>
      </w:tblPr>
      <w:tblGrid>
        <w:gridCol w:w="5140"/>
        <w:gridCol w:w="5390"/>
      </w:tblGrid>
      <w:tr w:rsidR="00CF094C" w:rsidRPr="00AA304F" w14:paraId="4EA377D2" w14:textId="77777777" w:rsidTr="00657EAC">
        <w:tc>
          <w:tcPr>
            <w:tcW w:w="5140" w:type="dxa"/>
          </w:tcPr>
          <w:p w14:paraId="3A3B6F92" w14:textId="0039DF26" w:rsidR="00AA304F" w:rsidRDefault="00AA304F" w:rsidP="00657EAC">
            <w:pPr>
              <w:rPr>
                <w:rFonts w:ascii="dearJoe 5 CASUAL PRO" w:hAnsi="dearJoe 5 CASUAL PRO"/>
              </w:rPr>
            </w:pPr>
            <w:r w:rsidRPr="00AA304F">
              <w:rPr>
                <w:rFonts w:ascii="dearJoe 5 CASUAL PRO" w:hAnsi="dearJoe 5 CASUAL PRO"/>
              </w:rPr>
              <w:t>News story</w:t>
            </w:r>
          </w:p>
          <w:p w14:paraId="47325B3E" w14:textId="71E33A54" w:rsidR="00CF094C" w:rsidRDefault="00CF094C" w:rsidP="00657EAC">
            <w:pPr>
              <w:rPr>
                <w:rFonts w:ascii="dearJoe 5 CASUAL PRO" w:hAnsi="dearJoe 5 CASUAL PRO"/>
              </w:rPr>
            </w:pPr>
          </w:p>
          <w:p w14:paraId="3541AAD1" w14:textId="28F05227" w:rsidR="00CF094C" w:rsidRPr="00AA304F" w:rsidRDefault="00CF094C" w:rsidP="00657EAC">
            <w:pPr>
              <w:rPr>
                <w:rFonts w:ascii="dearJoe 5 CASUAL PRO" w:hAnsi="dearJoe 5 CASUAL PRO"/>
              </w:rPr>
            </w:pPr>
            <w:bookmarkStart w:id="0" w:name="_GoBack"/>
            <w:r>
              <w:rPr>
                <w:rFonts w:ascii="dearJoe 5 CASUAL PRO" w:hAnsi="dearJoe 5 CASUAL PRO"/>
                <w:noProof/>
              </w:rPr>
              <w:drawing>
                <wp:inline distT="0" distB="0" distL="0" distR="0" wp14:anchorId="268C76C4" wp14:editId="6AE2DFB0">
                  <wp:extent cx="2321170" cy="1547446"/>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tentmeta.jpg"/>
                          <pic:cNvPicPr/>
                        </pic:nvPicPr>
                        <pic:blipFill>
                          <a:blip r:embed="rId18">
                            <a:extLst>
                              <a:ext uri="{28A0092B-C50C-407E-A947-70E740481C1C}">
                                <a14:useLocalDpi xmlns:a14="http://schemas.microsoft.com/office/drawing/2010/main" val="0"/>
                              </a:ext>
                            </a:extLst>
                          </a:blip>
                          <a:stretch>
                            <a:fillRect/>
                          </a:stretch>
                        </pic:blipFill>
                        <pic:spPr>
                          <a:xfrm>
                            <a:off x="0" y="0"/>
                            <a:ext cx="2382540" cy="1588359"/>
                          </a:xfrm>
                          <a:prstGeom prst="rect">
                            <a:avLst/>
                          </a:prstGeom>
                        </pic:spPr>
                      </pic:pic>
                    </a:graphicData>
                  </a:graphic>
                </wp:inline>
              </w:drawing>
            </w:r>
            <w:bookmarkEnd w:id="0"/>
          </w:p>
          <w:p w14:paraId="58E4B21D" w14:textId="37923CF9" w:rsidR="00AA304F" w:rsidRPr="00CF094C" w:rsidRDefault="00CF094C" w:rsidP="00657EAC">
            <w:pPr>
              <w:rPr>
                <w:sz w:val="20"/>
                <w:szCs w:val="20"/>
              </w:rPr>
            </w:pPr>
            <w:r w:rsidRPr="00CF094C">
              <w:rPr>
                <w:rFonts w:ascii="Source Sans Pro" w:hAnsi="Source Sans Pro"/>
                <w:color w:val="222222"/>
                <w:sz w:val="20"/>
                <w:szCs w:val="20"/>
              </w:rPr>
              <w:t>At the beginning of May, American space exploration agency</w:t>
            </w:r>
            <w:r w:rsidRPr="00CF094C">
              <w:rPr>
                <w:rStyle w:val="apple-converted-space"/>
                <w:rFonts w:ascii="Source Sans Pro" w:hAnsi="Source Sans Pro"/>
                <w:color w:val="222222"/>
                <w:sz w:val="20"/>
                <w:szCs w:val="20"/>
              </w:rPr>
              <w:t> </w:t>
            </w:r>
            <w:hyperlink r:id="rId19" w:tgtFrame="_blank" w:history="1">
              <w:r w:rsidRPr="00CF094C">
                <w:rPr>
                  <w:rStyle w:val="Hyperlink"/>
                  <w:rFonts w:ascii="Source Sans Pro" w:hAnsi="Source Sans Pro"/>
                  <w:color w:val="23408F"/>
                  <w:sz w:val="20"/>
                  <w:szCs w:val="20"/>
                </w:rPr>
                <w:t>NASA</w:t>
              </w:r>
            </w:hyperlink>
            <w:r w:rsidRPr="00CF094C">
              <w:rPr>
                <w:rStyle w:val="apple-converted-space"/>
                <w:rFonts w:ascii="Source Sans Pro" w:hAnsi="Source Sans Pro"/>
                <w:color w:val="222222"/>
                <w:sz w:val="20"/>
                <w:szCs w:val="20"/>
              </w:rPr>
              <w:t> </w:t>
            </w:r>
            <w:r w:rsidRPr="00CF094C">
              <w:rPr>
                <w:rFonts w:ascii="Source Sans Pro" w:hAnsi="Source Sans Pro"/>
                <w:color w:val="222222"/>
                <w:sz w:val="20"/>
                <w:szCs w:val="20"/>
              </w:rPr>
              <w:t>issued a press release announcing</w:t>
            </w:r>
            <w:r w:rsidRPr="00CF094C">
              <w:rPr>
                <w:rStyle w:val="apple-converted-space"/>
                <w:rFonts w:ascii="Source Sans Pro" w:hAnsi="Source Sans Pro"/>
                <w:color w:val="222222"/>
                <w:sz w:val="20"/>
                <w:szCs w:val="20"/>
              </w:rPr>
              <w:t> </w:t>
            </w:r>
            <w:hyperlink r:id="rId20" w:tgtFrame="_blank" w:history="1">
              <w:r w:rsidRPr="00CF094C">
                <w:rPr>
                  <w:rStyle w:val="Hyperlink"/>
                  <w:rFonts w:ascii="Source Sans Pro" w:hAnsi="Source Sans Pro"/>
                  <w:color w:val="23408F"/>
                  <w:sz w:val="20"/>
                  <w:szCs w:val="20"/>
                </w:rPr>
                <w:t>a newly established searchable public database of NASA’s expired patents</w:t>
              </w:r>
            </w:hyperlink>
            <w:r w:rsidRPr="00CF094C">
              <w:rPr>
                <w:rFonts w:ascii="Source Sans Pro" w:hAnsi="Source Sans Pro"/>
                <w:color w:val="222222"/>
                <w:sz w:val="20"/>
                <w:szCs w:val="20"/>
              </w:rPr>
              <w:t>. These patents cover thousands of technologies which are already in the public domain, but NASA has made it much easier to examine its patents by operating its own portal. Also announced was</w:t>
            </w:r>
            <w:r w:rsidRPr="00CF094C">
              <w:rPr>
                <w:rStyle w:val="apple-converted-space"/>
                <w:rFonts w:ascii="Source Sans Pro" w:hAnsi="Source Sans Pro"/>
                <w:color w:val="222222"/>
                <w:sz w:val="20"/>
                <w:szCs w:val="20"/>
              </w:rPr>
              <w:t> </w:t>
            </w:r>
            <w:hyperlink r:id="rId21" w:tgtFrame="_blank" w:history="1">
              <w:r w:rsidRPr="00CF094C">
                <w:rPr>
                  <w:rStyle w:val="Hyperlink"/>
                  <w:rFonts w:ascii="Source Sans Pro" w:hAnsi="Source Sans Pro"/>
                  <w:color w:val="23408F"/>
                  <w:sz w:val="20"/>
                  <w:szCs w:val="20"/>
                </w:rPr>
                <w:t>the release of 56 formerly-patented technologies to the public domain</w:t>
              </w:r>
            </w:hyperlink>
            <w:r w:rsidRPr="00CF094C">
              <w:rPr>
                <w:rStyle w:val="apple-converted-space"/>
                <w:rFonts w:ascii="Source Sans Pro" w:hAnsi="Source Sans Pro"/>
                <w:color w:val="222222"/>
                <w:sz w:val="20"/>
                <w:szCs w:val="20"/>
              </w:rPr>
              <w:t> </w:t>
            </w:r>
            <w:r w:rsidRPr="00CF094C">
              <w:rPr>
                <w:rFonts w:ascii="Source Sans Pro" w:hAnsi="Source Sans Pro"/>
                <w:color w:val="222222"/>
                <w:sz w:val="20"/>
                <w:szCs w:val="20"/>
              </w:rPr>
              <w:t>so that they can be used by commercial enterprises prior to their expiration.</w:t>
            </w:r>
          </w:p>
        </w:tc>
        <w:tc>
          <w:tcPr>
            <w:tcW w:w="5390" w:type="dxa"/>
          </w:tcPr>
          <w:p w14:paraId="5891F7DF" w14:textId="77777777" w:rsidR="00AA304F" w:rsidRPr="00AA304F" w:rsidRDefault="00AA304F" w:rsidP="00657EAC">
            <w:pPr>
              <w:rPr>
                <w:rFonts w:ascii="dearJoe 5 CASUAL PRO" w:hAnsi="dearJoe 5 CASUAL PRO"/>
              </w:rPr>
            </w:pPr>
            <w:r w:rsidRPr="00AA304F">
              <w:rPr>
                <w:rFonts w:ascii="dearJoe 5 CASUAL PRO" w:hAnsi="dearJoe 5 CASUAL PRO"/>
              </w:rPr>
              <w:t>Diagram</w:t>
            </w:r>
          </w:p>
          <w:p w14:paraId="72DF1115" w14:textId="77777777" w:rsidR="00AA304F" w:rsidRPr="00AA304F" w:rsidRDefault="00AA304F" w:rsidP="00657EAC">
            <w:pPr>
              <w:rPr>
                <w:rFonts w:ascii="dearJoe 5 CASUAL PRO" w:hAnsi="dearJoe 5 CASUAL PRO"/>
              </w:rPr>
            </w:pPr>
          </w:p>
          <w:p w14:paraId="729F421F" w14:textId="77777777" w:rsidR="00AA304F" w:rsidRPr="00AA304F" w:rsidRDefault="00AA304F" w:rsidP="00657EAC">
            <w:pPr>
              <w:rPr>
                <w:rFonts w:ascii="dearJoe 5 CASUAL PRO" w:hAnsi="dearJoe 5 CASUAL PRO"/>
              </w:rPr>
            </w:pPr>
          </w:p>
          <w:p w14:paraId="62B883E3" w14:textId="77777777" w:rsidR="00AA304F" w:rsidRPr="00AA304F" w:rsidRDefault="00AA304F" w:rsidP="00657EAC">
            <w:pPr>
              <w:rPr>
                <w:rFonts w:ascii="dearJoe 5 CASUAL PRO" w:hAnsi="dearJoe 5 CASUAL PRO"/>
              </w:rPr>
            </w:pPr>
          </w:p>
          <w:p w14:paraId="5BA89991" w14:textId="77777777" w:rsidR="00AA304F" w:rsidRPr="00AA304F" w:rsidRDefault="00AA304F" w:rsidP="00657EAC">
            <w:pPr>
              <w:rPr>
                <w:rFonts w:ascii="dearJoe 5 CASUAL PRO" w:hAnsi="dearJoe 5 CASUAL PRO"/>
              </w:rPr>
            </w:pPr>
          </w:p>
          <w:p w14:paraId="6E184469" w14:textId="77777777" w:rsidR="00AA304F" w:rsidRPr="00AA304F" w:rsidRDefault="00AA304F" w:rsidP="00657EAC">
            <w:pPr>
              <w:rPr>
                <w:rFonts w:ascii="dearJoe 5 CASUAL PRO" w:hAnsi="dearJoe 5 CASUAL PRO"/>
              </w:rPr>
            </w:pPr>
          </w:p>
          <w:p w14:paraId="34057033" w14:textId="77777777" w:rsidR="00AA304F" w:rsidRPr="00AA304F" w:rsidRDefault="00AA304F" w:rsidP="00657EAC">
            <w:pPr>
              <w:rPr>
                <w:rFonts w:ascii="dearJoe 5 CASUAL PRO" w:hAnsi="dearJoe 5 CASUAL PRO"/>
              </w:rPr>
            </w:pPr>
          </w:p>
          <w:p w14:paraId="4FAE1856" w14:textId="77777777" w:rsidR="00AA304F" w:rsidRPr="00AA304F" w:rsidRDefault="00AA304F" w:rsidP="00657EAC">
            <w:pPr>
              <w:rPr>
                <w:rFonts w:ascii="dearJoe 5 CASUAL PRO" w:hAnsi="dearJoe 5 CASUAL PRO"/>
              </w:rPr>
            </w:pPr>
          </w:p>
          <w:p w14:paraId="64E883D7" w14:textId="77777777" w:rsidR="00AA304F" w:rsidRPr="00AA304F" w:rsidRDefault="00AA304F" w:rsidP="00657EAC">
            <w:pPr>
              <w:rPr>
                <w:rFonts w:ascii="dearJoe 5 CASUAL PRO" w:hAnsi="dearJoe 5 CASUAL PRO"/>
              </w:rPr>
            </w:pPr>
          </w:p>
          <w:p w14:paraId="4716BED3" w14:textId="77777777" w:rsidR="00AA304F" w:rsidRPr="00AA304F" w:rsidRDefault="00AA304F" w:rsidP="00657EAC">
            <w:pPr>
              <w:rPr>
                <w:rFonts w:ascii="dearJoe 5 CASUAL PRO" w:hAnsi="dearJoe 5 CASUAL PRO"/>
              </w:rPr>
            </w:pPr>
          </w:p>
        </w:tc>
      </w:tr>
      <w:tr w:rsidR="00CF094C" w:rsidRPr="00AA304F" w14:paraId="6713192B" w14:textId="77777777" w:rsidTr="00657EAC">
        <w:tc>
          <w:tcPr>
            <w:tcW w:w="5140" w:type="dxa"/>
          </w:tcPr>
          <w:p w14:paraId="7038A4F4" w14:textId="77777777" w:rsidR="00AA304F" w:rsidRPr="00AA304F" w:rsidRDefault="00AA304F" w:rsidP="00657EAC">
            <w:pPr>
              <w:rPr>
                <w:rFonts w:ascii="dearJoe 5 CASUAL PRO" w:hAnsi="dearJoe 5 CASUAL PRO"/>
                <w:sz w:val="13"/>
                <w:szCs w:val="13"/>
              </w:rPr>
            </w:pPr>
            <w:r w:rsidRPr="00AA304F">
              <w:rPr>
                <w:rFonts w:ascii="dearJoe 5 CASUAL PRO" w:hAnsi="dearJoe 5 CASUAL PRO"/>
                <w:sz w:val="13"/>
                <w:szCs w:val="13"/>
              </w:rPr>
              <w:t>C</w:t>
            </w:r>
          </w:p>
          <w:p w14:paraId="481D1389" w14:textId="77777777" w:rsidR="00AA304F" w:rsidRPr="00AA304F" w:rsidRDefault="00AA304F" w:rsidP="00657EAC">
            <w:pPr>
              <w:rPr>
                <w:rFonts w:ascii="dearJoe 5 CASUAL PRO" w:hAnsi="dearJoe 5 CASUAL PRO"/>
                <w:sz w:val="13"/>
                <w:szCs w:val="13"/>
              </w:rPr>
            </w:pPr>
            <w:r w:rsidRPr="00AA304F">
              <w:rPr>
                <w:rFonts w:ascii="dearJoe 5 CASUAL PRO" w:hAnsi="dearJoe 5 CASUAL PRO"/>
                <w:sz w:val="13"/>
                <w:szCs w:val="13"/>
              </w:rPr>
              <w:t>L</w:t>
            </w:r>
          </w:p>
          <w:p w14:paraId="1E834204" w14:textId="77777777" w:rsidR="00AA304F" w:rsidRPr="00AA304F" w:rsidRDefault="00AA304F" w:rsidP="00657EAC">
            <w:pPr>
              <w:rPr>
                <w:rFonts w:ascii="dearJoe 5 CASUAL PRO" w:hAnsi="dearJoe 5 CASUAL PRO"/>
                <w:sz w:val="13"/>
                <w:szCs w:val="13"/>
              </w:rPr>
            </w:pPr>
            <w:r w:rsidRPr="00AA304F">
              <w:rPr>
                <w:rFonts w:ascii="dearJoe 5 CASUAL PRO" w:hAnsi="dearJoe 5 CASUAL PRO"/>
                <w:sz w:val="13"/>
                <w:szCs w:val="13"/>
              </w:rPr>
              <w:t>A</w:t>
            </w:r>
          </w:p>
          <w:p w14:paraId="2C8865BA" w14:textId="77777777" w:rsidR="00AA304F" w:rsidRPr="00AA304F" w:rsidRDefault="00AA304F" w:rsidP="00657EAC">
            <w:pPr>
              <w:rPr>
                <w:rFonts w:ascii="dearJoe 5 CASUAL PRO" w:hAnsi="dearJoe 5 CASUAL PRO"/>
              </w:rPr>
            </w:pPr>
            <w:r w:rsidRPr="00AA304F">
              <w:rPr>
                <w:rFonts w:ascii="dearJoe 5 CASUAL PRO" w:hAnsi="dearJoe 5 CASUAL PRO"/>
              </w:rPr>
              <w:t>Stakeholders</w:t>
            </w:r>
          </w:p>
          <w:p w14:paraId="07B354FC" w14:textId="77777777" w:rsidR="00AA304F" w:rsidRPr="00AA304F" w:rsidRDefault="00AA304F" w:rsidP="00657EAC">
            <w:pPr>
              <w:rPr>
                <w:rFonts w:ascii="dearJoe 5 CASUAL PRO" w:hAnsi="dearJoe 5 CASUAL PRO"/>
              </w:rPr>
            </w:pPr>
          </w:p>
          <w:p w14:paraId="05CFF4CF" w14:textId="77777777" w:rsidR="00AA304F" w:rsidRPr="00AA304F" w:rsidRDefault="00AA304F" w:rsidP="00657EAC">
            <w:pPr>
              <w:rPr>
                <w:rFonts w:ascii="dearJoe 5 CASUAL PRO" w:hAnsi="dearJoe 5 CASUAL PRO"/>
              </w:rPr>
            </w:pPr>
          </w:p>
          <w:p w14:paraId="15EF5197" w14:textId="77777777" w:rsidR="00AA304F" w:rsidRPr="00AA304F" w:rsidRDefault="00AA304F" w:rsidP="00657EAC">
            <w:pPr>
              <w:rPr>
                <w:rFonts w:ascii="dearJoe 5 CASUAL PRO" w:hAnsi="dearJoe 5 CASUAL PRO"/>
              </w:rPr>
            </w:pPr>
          </w:p>
          <w:p w14:paraId="1919BDAA" w14:textId="77777777" w:rsidR="00AA304F" w:rsidRPr="00AA304F" w:rsidRDefault="00AA304F" w:rsidP="00657EAC">
            <w:pPr>
              <w:rPr>
                <w:rFonts w:ascii="dearJoe 5 CASUAL PRO" w:hAnsi="dearJoe 5 CASUAL PRO"/>
              </w:rPr>
            </w:pPr>
          </w:p>
          <w:p w14:paraId="0B8DD1E4" w14:textId="77777777" w:rsidR="00AA304F" w:rsidRPr="00AA304F" w:rsidRDefault="00AA304F" w:rsidP="00657EAC">
            <w:pPr>
              <w:rPr>
                <w:rFonts w:ascii="dearJoe 5 CASUAL PRO" w:hAnsi="dearJoe 5 CASUAL PRO"/>
              </w:rPr>
            </w:pPr>
          </w:p>
          <w:p w14:paraId="5AB9D4F8" w14:textId="77777777" w:rsidR="00AA304F" w:rsidRPr="00AA304F" w:rsidRDefault="00AA304F" w:rsidP="00657EAC">
            <w:pPr>
              <w:rPr>
                <w:rFonts w:ascii="dearJoe 5 CASUAL PRO" w:hAnsi="dearJoe 5 CASUAL PRO"/>
              </w:rPr>
            </w:pPr>
            <w:r w:rsidRPr="00AA304F">
              <w:rPr>
                <w:rFonts w:ascii="dearJoe 5 CASUAL PRO" w:hAnsi="dearJoe 5 CASUAL PRO"/>
              </w:rPr>
              <w:t>Pros and cons</w:t>
            </w:r>
          </w:p>
          <w:p w14:paraId="262C1054" w14:textId="77777777" w:rsidR="00AA304F" w:rsidRPr="00AA304F" w:rsidRDefault="00AA304F" w:rsidP="00657EAC">
            <w:pPr>
              <w:rPr>
                <w:rFonts w:ascii="dearJoe 5 CASUAL PRO" w:hAnsi="dearJoe 5 CASUAL PRO"/>
              </w:rPr>
            </w:pPr>
          </w:p>
          <w:p w14:paraId="037B1F04" w14:textId="77777777" w:rsidR="00AA304F" w:rsidRPr="00AA304F" w:rsidRDefault="00AA304F" w:rsidP="00657EAC">
            <w:pPr>
              <w:rPr>
                <w:rFonts w:ascii="dearJoe 5 CASUAL PRO" w:hAnsi="dearJoe 5 CASUAL PRO"/>
              </w:rPr>
            </w:pPr>
          </w:p>
          <w:p w14:paraId="25618E48" w14:textId="77777777" w:rsidR="00AA304F" w:rsidRPr="00AA304F" w:rsidRDefault="00AA304F" w:rsidP="00657EAC">
            <w:pPr>
              <w:rPr>
                <w:rFonts w:ascii="dearJoe 5 CASUAL PRO" w:hAnsi="dearJoe 5 CASUAL PRO"/>
              </w:rPr>
            </w:pPr>
          </w:p>
          <w:p w14:paraId="2A9C31FB" w14:textId="77777777" w:rsidR="00AA304F" w:rsidRPr="00AA304F" w:rsidRDefault="00AA304F" w:rsidP="00657EAC">
            <w:pPr>
              <w:rPr>
                <w:rFonts w:ascii="dearJoe 5 CASUAL PRO" w:hAnsi="dearJoe 5 CASUAL PRO"/>
              </w:rPr>
            </w:pPr>
          </w:p>
          <w:p w14:paraId="45362B25" w14:textId="77777777" w:rsidR="00AA304F" w:rsidRPr="00AA304F" w:rsidRDefault="00AA304F" w:rsidP="00657EAC">
            <w:pPr>
              <w:rPr>
                <w:rFonts w:ascii="dearJoe 5 CASUAL PRO" w:hAnsi="dearJoe 5 CASUAL PRO"/>
              </w:rPr>
            </w:pPr>
          </w:p>
          <w:p w14:paraId="4A2216CA" w14:textId="77777777" w:rsidR="00AA304F" w:rsidRPr="00AA304F" w:rsidRDefault="00AA304F" w:rsidP="00657EAC">
            <w:pPr>
              <w:rPr>
                <w:rFonts w:ascii="dearJoe 5 CASUAL PRO" w:hAnsi="dearJoe 5 CASUAL PRO"/>
              </w:rPr>
            </w:pPr>
            <w:r w:rsidRPr="00AA304F">
              <w:rPr>
                <w:rFonts w:ascii="dearJoe 5 CASUAL PRO" w:hAnsi="dearJoe 5 CASUAL PRO"/>
              </w:rPr>
              <w:t>Priorities</w:t>
            </w:r>
          </w:p>
          <w:p w14:paraId="18D10FE3" w14:textId="77777777" w:rsidR="00AA304F" w:rsidRPr="00AA304F" w:rsidRDefault="00AA304F" w:rsidP="00657EAC">
            <w:pPr>
              <w:rPr>
                <w:rFonts w:ascii="dearJoe 5 CASUAL PRO" w:hAnsi="dearJoe 5 CASUAL PRO"/>
              </w:rPr>
            </w:pPr>
          </w:p>
          <w:p w14:paraId="275B3C67" w14:textId="77777777" w:rsidR="00AA304F" w:rsidRPr="00AA304F" w:rsidRDefault="00AA304F" w:rsidP="00657EAC">
            <w:pPr>
              <w:rPr>
                <w:rFonts w:ascii="dearJoe 5 CASUAL PRO" w:hAnsi="dearJoe 5 CASUAL PRO"/>
              </w:rPr>
            </w:pPr>
          </w:p>
          <w:p w14:paraId="7228F316" w14:textId="77777777" w:rsidR="00AA304F" w:rsidRPr="00AA304F" w:rsidRDefault="00AA304F" w:rsidP="00657EAC">
            <w:pPr>
              <w:rPr>
                <w:rFonts w:ascii="dearJoe 5 CASUAL PRO" w:hAnsi="dearJoe 5 CASUAL PRO"/>
              </w:rPr>
            </w:pPr>
          </w:p>
          <w:p w14:paraId="2802919F" w14:textId="77777777" w:rsidR="00AA304F" w:rsidRPr="00AA304F" w:rsidRDefault="00AA304F" w:rsidP="00657EAC">
            <w:pPr>
              <w:rPr>
                <w:rFonts w:ascii="dearJoe 5 CASUAL PRO" w:hAnsi="dearJoe 5 CASUAL PRO"/>
              </w:rPr>
            </w:pPr>
          </w:p>
        </w:tc>
        <w:tc>
          <w:tcPr>
            <w:tcW w:w="5390" w:type="dxa"/>
          </w:tcPr>
          <w:p w14:paraId="059959B5" w14:textId="77777777" w:rsidR="00AA304F" w:rsidRPr="00AA304F" w:rsidRDefault="00AA304F" w:rsidP="00657EAC">
            <w:pPr>
              <w:rPr>
                <w:rFonts w:ascii="dearJoe 5 CASUAL PRO" w:hAnsi="dearJoe 5 CASUAL PRO"/>
              </w:rPr>
            </w:pPr>
            <w:r w:rsidRPr="00AA304F">
              <w:rPr>
                <w:rFonts w:ascii="dearJoe 5 CASUAL PRO" w:hAnsi="dearJoe 5 CASUAL PRO"/>
              </w:rPr>
              <w:t>Conclusion – Why is this policy preferred over others?</w:t>
            </w:r>
          </w:p>
        </w:tc>
      </w:tr>
    </w:tbl>
    <w:p w14:paraId="24584FD3" w14:textId="6AFB1310" w:rsidR="00AA304F" w:rsidRPr="00AA304F" w:rsidRDefault="00AA304F">
      <w:pPr>
        <w:rPr>
          <w:rFonts w:ascii="dearJoe 5 CASUAL PRO" w:hAnsi="dearJoe 5 CASUAL PRO"/>
        </w:rPr>
      </w:pPr>
    </w:p>
    <w:p w14:paraId="3D173C9B" w14:textId="3F7CE073" w:rsidR="00AA304F" w:rsidRPr="00AA304F" w:rsidRDefault="00AA304F">
      <w:pPr>
        <w:rPr>
          <w:rFonts w:ascii="dearJoe 5 CASUAL PRO" w:hAnsi="dearJoe 5 CASUAL PRO"/>
        </w:rPr>
      </w:pPr>
    </w:p>
    <w:p w14:paraId="34BB62F6" w14:textId="77777777" w:rsidR="00AA304F" w:rsidRPr="00AA304F" w:rsidRDefault="00AA304F">
      <w:pPr>
        <w:rPr>
          <w:rFonts w:ascii="dearJoe 5 CASUAL PRO" w:hAnsi="dearJoe 5 CASUAL PRO"/>
        </w:rPr>
      </w:pPr>
    </w:p>
    <w:p w14:paraId="56038184" w14:textId="75B9F532" w:rsidR="00AA304F" w:rsidRPr="00AA304F" w:rsidRDefault="00AA304F">
      <w:pPr>
        <w:rPr>
          <w:rFonts w:ascii="dearJoe 5 CASUAL PRO" w:hAnsi="dearJoe 5 CASUAL PRO"/>
        </w:rPr>
      </w:pPr>
    </w:p>
    <w:p w14:paraId="7A006BCF" w14:textId="7D34CCB9" w:rsidR="00AA304F" w:rsidRPr="00AA304F" w:rsidRDefault="00AA304F">
      <w:pPr>
        <w:rPr>
          <w:rFonts w:ascii="dearJoe 5 CASUAL PRO" w:hAnsi="dearJoe 5 CASUAL PRO"/>
        </w:rPr>
      </w:pPr>
    </w:p>
    <w:p w14:paraId="6D9EBE07" w14:textId="7DED173D" w:rsidR="00AA304F" w:rsidRPr="00AA304F" w:rsidRDefault="00AA304F">
      <w:pPr>
        <w:rPr>
          <w:rFonts w:ascii="dearJoe 5 CASUAL PRO" w:hAnsi="dearJoe 5 CASUAL PRO"/>
        </w:rPr>
      </w:pPr>
    </w:p>
    <w:p w14:paraId="0BA17361" w14:textId="4BD3F939" w:rsidR="00AA304F" w:rsidRPr="00AA304F" w:rsidRDefault="00AA304F">
      <w:pPr>
        <w:rPr>
          <w:rFonts w:ascii="dearJoe 5 CASUAL PRO" w:hAnsi="dearJoe 5 CASUAL PRO"/>
        </w:rPr>
      </w:pPr>
    </w:p>
    <w:p w14:paraId="28D33286" w14:textId="4945FF7E" w:rsidR="00AA304F" w:rsidRPr="00AA304F" w:rsidRDefault="00AA304F">
      <w:pPr>
        <w:rPr>
          <w:rFonts w:ascii="dearJoe 5 CASUAL PRO" w:hAnsi="dearJoe 5 CASUAL PRO"/>
        </w:rPr>
      </w:pPr>
    </w:p>
    <w:p w14:paraId="1D67632F" w14:textId="77777777" w:rsidR="00AA304F" w:rsidRPr="00AA304F" w:rsidRDefault="00AA304F">
      <w:pPr>
        <w:rPr>
          <w:rFonts w:ascii="dearJoe 5 CASUAL PRO" w:hAnsi="dearJoe 5 CASUAL PRO"/>
        </w:rPr>
      </w:pPr>
    </w:p>
    <w:sectPr w:rsidR="00AA304F" w:rsidRPr="00AA304F" w:rsidSect="0047462A">
      <w:headerReference w:type="default" r:id="rId2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39A6" w14:textId="77777777" w:rsidR="004018B3" w:rsidRDefault="004018B3" w:rsidP="00AA304F">
      <w:r>
        <w:separator/>
      </w:r>
    </w:p>
  </w:endnote>
  <w:endnote w:type="continuationSeparator" w:id="0">
    <w:p w14:paraId="175F7A26" w14:textId="77777777" w:rsidR="004018B3" w:rsidRDefault="004018B3" w:rsidP="00AA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F34F" w14:textId="77777777" w:rsidR="004018B3" w:rsidRDefault="004018B3" w:rsidP="00AA304F">
      <w:r>
        <w:separator/>
      </w:r>
    </w:p>
  </w:footnote>
  <w:footnote w:type="continuationSeparator" w:id="0">
    <w:p w14:paraId="117C4112" w14:textId="77777777" w:rsidR="004018B3" w:rsidRDefault="004018B3" w:rsidP="00AA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F496" w14:textId="1BCB03B5" w:rsidR="00AA304F" w:rsidRPr="00C758B5" w:rsidRDefault="00C758B5" w:rsidP="00C758B5">
    <w:pPr>
      <w:pStyle w:val="Header"/>
      <w:jc w:val="center"/>
      <w:rPr>
        <w:rFonts w:ascii="dearJoe 5 CASUAL PRO" w:hAnsi="dearJoe 5 CASUAL PRO"/>
        <w:sz w:val="28"/>
        <w:szCs w:val="28"/>
        <w:lang w:val="en-GB"/>
      </w:rPr>
    </w:pPr>
    <w:r>
      <w:rPr>
        <w:rFonts w:ascii="dearJoe 5 CASUAL PRO" w:hAnsi="dearJoe 5 CASUAL PRO"/>
        <w:sz w:val="28"/>
        <w:szCs w:val="28"/>
        <w:lang w:val="en-GB"/>
      </w:rPr>
      <w:t>Market Failure – Policy Prescriptions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4F"/>
    <w:rsid w:val="004018B3"/>
    <w:rsid w:val="00435C8D"/>
    <w:rsid w:val="0047462A"/>
    <w:rsid w:val="00AA304F"/>
    <w:rsid w:val="00C758B5"/>
    <w:rsid w:val="00CF094C"/>
    <w:rsid w:val="00D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9569"/>
  <w14:defaultImageDpi w14:val="32767"/>
  <w15:chartTrackingRefBased/>
  <w15:docId w15:val="{C2225FAC-6B04-8940-8D95-14F9C6EA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758B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58B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304F"/>
  </w:style>
  <w:style w:type="character" w:styleId="Hyperlink">
    <w:name w:val="Hyperlink"/>
    <w:basedOn w:val="DefaultParagraphFont"/>
    <w:uiPriority w:val="99"/>
    <w:semiHidden/>
    <w:unhideWhenUsed/>
    <w:rsid w:val="00AA304F"/>
    <w:rPr>
      <w:color w:val="0000FF"/>
      <w:u w:val="single"/>
    </w:rPr>
  </w:style>
  <w:style w:type="paragraph" w:styleId="Header">
    <w:name w:val="header"/>
    <w:basedOn w:val="Normal"/>
    <w:link w:val="HeaderChar"/>
    <w:uiPriority w:val="99"/>
    <w:unhideWhenUsed/>
    <w:rsid w:val="00AA304F"/>
    <w:pPr>
      <w:tabs>
        <w:tab w:val="center" w:pos="4680"/>
        <w:tab w:val="right" w:pos="9360"/>
      </w:tabs>
    </w:pPr>
  </w:style>
  <w:style w:type="character" w:customStyle="1" w:styleId="HeaderChar">
    <w:name w:val="Header Char"/>
    <w:basedOn w:val="DefaultParagraphFont"/>
    <w:link w:val="Header"/>
    <w:uiPriority w:val="99"/>
    <w:rsid w:val="00AA304F"/>
  </w:style>
  <w:style w:type="paragraph" w:styleId="Footer">
    <w:name w:val="footer"/>
    <w:basedOn w:val="Normal"/>
    <w:link w:val="FooterChar"/>
    <w:uiPriority w:val="99"/>
    <w:unhideWhenUsed/>
    <w:rsid w:val="00AA304F"/>
    <w:pPr>
      <w:tabs>
        <w:tab w:val="center" w:pos="4680"/>
        <w:tab w:val="right" w:pos="9360"/>
      </w:tabs>
    </w:pPr>
  </w:style>
  <w:style w:type="character" w:customStyle="1" w:styleId="FooterChar">
    <w:name w:val="Footer Char"/>
    <w:basedOn w:val="DefaultParagraphFont"/>
    <w:link w:val="Footer"/>
    <w:uiPriority w:val="99"/>
    <w:rsid w:val="00AA304F"/>
  </w:style>
  <w:style w:type="character" w:customStyle="1" w:styleId="Heading2Char">
    <w:name w:val="Heading 2 Char"/>
    <w:basedOn w:val="DefaultParagraphFont"/>
    <w:link w:val="Heading2"/>
    <w:uiPriority w:val="9"/>
    <w:rsid w:val="00C758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58B5"/>
    <w:rPr>
      <w:rFonts w:ascii="Times New Roman" w:eastAsia="Times New Roman" w:hAnsi="Times New Roman" w:cs="Times New Roman"/>
      <w:b/>
      <w:bCs/>
      <w:sz w:val="27"/>
      <w:szCs w:val="27"/>
    </w:rPr>
  </w:style>
  <w:style w:type="paragraph" w:styleId="NormalWeb">
    <w:name w:val="Normal (Web)"/>
    <w:basedOn w:val="Normal"/>
    <w:uiPriority w:val="99"/>
    <w:unhideWhenUsed/>
    <w:rsid w:val="00C758B5"/>
    <w:pPr>
      <w:spacing w:before="100" w:beforeAutospacing="1" w:after="100" w:afterAutospacing="1"/>
    </w:pPr>
    <w:rPr>
      <w:rFonts w:ascii="Times New Roman" w:eastAsia="Times New Roman" w:hAnsi="Times New Roman" w:cs="Times New Roman"/>
    </w:rPr>
  </w:style>
  <w:style w:type="paragraph" w:customStyle="1" w:styleId="css-exrw3m">
    <w:name w:val="css-exrw3m"/>
    <w:basedOn w:val="Normal"/>
    <w:rsid w:val="00C758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8113">
      <w:bodyDiv w:val="1"/>
      <w:marLeft w:val="0"/>
      <w:marRight w:val="0"/>
      <w:marTop w:val="0"/>
      <w:marBottom w:val="0"/>
      <w:divBdr>
        <w:top w:val="none" w:sz="0" w:space="0" w:color="auto"/>
        <w:left w:val="none" w:sz="0" w:space="0" w:color="auto"/>
        <w:bottom w:val="none" w:sz="0" w:space="0" w:color="auto"/>
        <w:right w:val="none" w:sz="0" w:space="0" w:color="auto"/>
      </w:divBdr>
      <w:divsChild>
        <w:div w:id="1339500093">
          <w:marLeft w:val="0"/>
          <w:marRight w:val="0"/>
          <w:marTop w:val="0"/>
          <w:marBottom w:val="0"/>
          <w:divBdr>
            <w:top w:val="none" w:sz="0" w:space="0" w:color="auto"/>
            <w:left w:val="none" w:sz="0" w:space="0" w:color="auto"/>
            <w:bottom w:val="none" w:sz="0" w:space="0" w:color="auto"/>
            <w:right w:val="none" w:sz="0" w:space="0" w:color="auto"/>
          </w:divBdr>
        </w:div>
        <w:div w:id="1185707313">
          <w:marLeft w:val="0"/>
          <w:marRight w:val="0"/>
          <w:marTop w:val="0"/>
          <w:marBottom w:val="0"/>
          <w:divBdr>
            <w:top w:val="none" w:sz="0" w:space="0" w:color="auto"/>
            <w:left w:val="none" w:sz="0" w:space="0" w:color="auto"/>
            <w:bottom w:val="none" w:sz="0" w:space="0" w:color="auto"/>
            <w:right w:val="none" w:sz="0" w:space="0" w:color="auto"/>
          </w:divBdr>
          <w:divsChild>
            <w:div w:id="214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5543">
      <w:bodyDiv w:val="1"/>
      <w:marLeft w:val="0"/>
      <w:marRight w:val="0"/>
      <w:marTop w:val="0"/>
      <w:marBottom w:val="0"/>
      <w:divBdr>
        <w:top w:val="none" w:sz="0" w:space="0" w:color="auto"/>
        <w:left w:val="none" w:sz="0" w:space="0" w:color="auto"/>
        <w:bottom w:val="none" w:sz="0" w:space="0" w:color="auto"/>
        <w:right w:val="none" w:sz="0" w:space="0" w:color="auto"/>
      </w:divBdr>
    </w:div>
    <w:div w:id="157579818">
      <w:bodyDiv w:val="1"/>
      <w:marLeft w:val="0"/>
      <w:marRight w:val="0"/>
      <w:marTop w:val="0"/>
      <w:marBottom w:val="0"/>
      <w:divBdr>
        <w:top w:val="none" w:sz="0" w:space="0" w:color="auto"/>
        <w:left w:val="none" w:sz="0" w:space="0" w:color="auto"/>
        <w:bottom w:val="none" w:sz="0" w:space="0" w:color="auto"/>
        <w:right w:val="none" w:sz="0" w:space="0" w:color="auto"/>
      </w:divBdr>
    </w:div>
    <w:div w:id="399793620">
      <w:bodyDiv w:val="1"/>
      <w:marLeft w:val="0"/>
      <w:marRight w:val="0"/>
      <w:marTop w:val="0"/>
      <w:marBottom w:val="0"/>
      <w:divBdr>
        <w:top w:val="none" w:sz="0" w:space="0" w:color="auto"/>
        <w:left w:val="none" w:sz="0" w:space="0" w:color="auto"/>
        <w:bottom w:val="none" w:sz="0" w:space="0" w:color="auto"/>
        <w:right w:val="none" w:sz="0" w:space="0" w:color="auto"/>
      </w:divBdr>
    </w:div>
    <w:div w:id="893543681">
      <w:bodyDiv w:val="1"/>
      <w:marLeft w:val="0"/>
      <w:marRight w:val="0"/>
      <w:marTop w:val="0"/>
      <w:marBottom w:val="0"/>
      <w:divBdr>
        <w:top w:val="none" w:sz="0" w:space="0" w:color="auto"/>
        <w:left w:val="none" w:sz="0" w:space="0" w:color="auto"/>
        <w:bottom w:val="none" w:sz="0" w:space="0" w:color="auto"/>
        <w:right w:val="none" w:sz="0" w:space="0" w:color="auto"/>
      </w:divBdr>
    </w:div>
    <w:div w:id="1035690273">
      <w:bodyDiv w:val="1"/>
      <w:marLeft w:val="0"/>
      <w:marRight w:val="0"/>
      <w:marTop w:val="0"/>
      <w:marBottom w:val="0"/>
      <w:divBdr>
        <w:top w:val="none" w:sz="0" w:space="0" w:color="auto"/>
        <w:left w:val="none" w:sz="0" w:space="0" w:color="auto"/>
        <w:bottom w:val="none" w:sz="0" w:space="0" w:color="auto"/>
        <w:right w:val="none" w:sz="0" w:space="0" w:color="auto"/>
      </w:divBdr>
    </w:div>
    <w:div w:id="1713726522">
      <w:bodyDiv w:val="1"/>
      <w:marLeft w:val="0"/>
      <w:marRight w:val="0"/>
      <w:marTop w:val="0"/>
      <w:marBottom w:val="0"/>
      <w:divBdr>
        <w:top w:val="none" w:sz="0" w:space="0" w:color="auto"/>
        <w:left w:val="none" w:sz="0" w:space="0" w:color="auto"/>
        <w:bottom w:val="none" w:sz="0" w:space="0" w:color="auto"/>
        <w:right w:val="none" w:sz="0" w:space="0" w:color="auto"/>
      </w:divBdr>
      <w:divsChild>
        <w:div w:id="1450509061">
          <w:marLeft w:val="0"/>
          <w:marRight w:val="0"/>
          <w:marTop w:val="0"/>
          <w:marBottom w:val="225"/>
          <w:divBdr>
            <w:top w:val="none" w:sz="0" w:space="0" w:color="auto"/>
            <w:left w:val="none" w:sz="0" w:space="0" w:color="auto"/>
            <w:bottom w:val="none" w:sz="0" w:space="0" w:color="auto"/>
            <w:right w:val="none" w:sz="0" w:space="0" w:color="auto"/>
          </w:divBdr>
        </w:div>
        <w:div w:id="1550798537">
          <w:marLeft w:val="0"/>
          <w:marRight w:val="0"/>
          <w:marTop w:val="0"/>
          <w:marBottom w:val="225"/>
          <w:divBdr>
            <w:top w:val="none" w:sz="0" w:space="0" w:color="auto"/>
            <w:left w:val="none" w:sz="0" w:space="0" w:color="auto"/>
            <w:bottom w:val="none" w:sz="0" w:space="0" w:color="auto"/>
            <w:right w:val="none" w:sz="0" w:space="0" w:color="auto"/>
          </w:divBdr>
        </w:div>
        <w:div w:id="3947739">
          <w:marLeft w:val="0"/>
          <w:marRight w:val="0"/>
          <w:marTop w:val="0"/>
          <w:marBottom w:val="225"/>
          <w:divBdr>
            <w:top w:val="none" w:sz="0" w:space="0" w:color="auto"/>
            <w:left w:val="none" w:sz="0" w:space="0" w:color="auto"/>
            <w:bottom w:val="none" w:sz="0" w:space="0" w:color="auto"/>
            <w:right w:val="none" w:sz="0" w:space="0" w:color="auto"/>
          </w:divBdr>
        </w:div>
        <w:div w:id="1684670784">
          <w:marLeft w:val="0"/>
          <w:marRight w:val="0"/>
          <w:marTop w:val="0"/>
          <w:marBottom w:val="0"/>
          <w:divBdr>
            <w:top w:val="none" w:sz="0" w:space="0" w:color="auto"/>
            <w:left w:val="none" w:sz="0" w:space="0" w:color="auto"/>
            <w:bottom w:val="none" w:sz="0" w:space="0" w:color="auto"/>
            <w:right w:val="none" w:sz="0" w:space="0" w:color="auto"/>
          </w:divBdr>
          <w:divsChild>
            <w:div w:id="1105615260">
              <w:marLeft w:val="0"/>
              <w:marRight w:val="0"/>
              <w:marTop w:val="0"/>
              <w:marBottom w:val="225"/>
              <w:divBdr>
                <w:top w:val="none" w:sz="0" w:space="0" w:color="auto"/>
                <w:left w:val="none" w:sz="0" w:space="0" w:color="auto"/>
                <w:bottom w:val="none" w:sz="0" w:space="0" w:color="auto"/>
                <w:right w:val="none" w:sz="0" w:space="0" w:color="auto"/>
              </w:divBdr>
            </w:div>
            <w:div w:id="1748310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treasury/Flint-ReviewTeamReport-11-7-11_417437_7.pdf" TargetMode="External"/><Relationship Id="rId13" Type="http://schemas.openxmlformats.org/officeDocument/2006/relationships/hyperlink" Target="http://www.niehs.nih.gov/health/materials/lead_and_your_health_508.pdf" TargetMode="External"/><Relationship Id="rId18" Type="http://schemas.openxmlformats.org/officeDocument/2006/relationships/image" Target="media/image5.jpg"/><Relationship Id="rId3" Type="http://schemas.openxmlformats.org/officeDocument/2006/relationships/webSettings" Target="webSettings.xml"/><Relationship Id="rId21" Type="http://schemas.openxmlformats.org/officeDocument/2006/relationships/hyperlink" Target="http://www.sciencealert.com/nasa-just-released-56-patented-space-and-rocket-technologies-to-the-public" TargetMode="External"/><Relationship Id="rId7" Type="http://schemas.openxmlformats.org/officeDocument/2006/relationships/hyperlink" Target="http://www.cnn.com/2014/04/08/us/general-motors-fast-facts/" TargetMode="External"/><Relationship Id="rId12" Type="http://schemas.openxmlformats.org/officeDocument/2006/relationships/hyperlink" Target="http://flintwaterstudy.org/2015/09/test-update-flint-river-water-19x-more-corrosive-than-detroit-water-for-lead-solder-now-what/" TargetMode="External"/><Relationship Id="rId17" Type="http://schemas.openxmlformats.org/officeDocument/2006/relationships/hyperlink" Target="https://www.dallascounty.org/Assets/uploads/docs/hhs/press-releases/2019/DCHHS%20Reports%20first%20EVALI%20death%20for%202019.pdf" TargetMode="External"/><Relationship Id="rId2" Type="http://schemas.openxmlformats.org/officeDocument/2006/relationships/settings" Target="settings.xml"/><Relationship Id="rId16" Type="http://schemas.openxmlformats.org/officeDocument/2006/relationships/image" Target="media/image4.jpg"/><Relationship Id="rId20" Type="http://schemas.openxmlformats.org/officeDocument/2006/relationships/hyperlink" Target="https://www.nasa.gov/press-release/nasa-makes-dozens-of-patents-available-in-public-domain-to-benefit-us-industry"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epa.gov/sites/production/files/2015-11/documents/transmittal_of_final_redacted_report_to_mdeq.pd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www.ncbi.nlm.nih.gov/pmc/articles/PMC5353852/" TargetMode="External"/><Relationship Id="rId19" Type="http://schemas.openxmlformats.org/officeDocument/2006/relationships/hyperlink" Target="https://www.nasa.gov/" TargetMode="External"/><Relationship Id="rId4" Type="http://schemas.openxmlformats.org/officeDocument/2006/relationships/footnotes" Target="footnotes.xml"/><Relationship Id="rId9" Type="http://schemas.openxmlformats.org/officeDocument/2006/relationships/hyperlink" Target="http://www.mlive.com/news/flint/index.ssf/2014/04/closing_the_valve_on_history_f.html"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1</cp:revision>
  <dcterms:created xsi:type="dcterms:W3CDTF">2020-01-14T14:19:00Z</dcterms:created>
  <dcterms:modified xsi:type="dcterms:W3CDTF">2020-01-14T14:51:00Z</dcterms:modified>
</cp:coreProperties>
</file>