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6853C" w14:textId="01471790" w:rsidR="006913D5" w:rsidRPr="005A7C2E" w:rsidRDefault="005A7C2E" w:rsidP="005941B1">
      <w:pPr>
        <w:jc w:val="center"/>
        <w:rPr>
          <w:rFonts w:ascii="Comic Sans MS" w:hAnsi="Comic Sans MS"/>
          <w:b/>
          <w:sz w:val="32"/>
          <w:szCs w:val="32"/>
          <w:u w:val="single"/>
        </w:rPr>
      </w:pPr>
      <w:r w:rsidRPr="005A7C2E">
        <w:rPr>
          <w:rFonts w:ascii="Comic Sans MS" w:hAnsi="Comic Sans MS"/>
          <w:b/>
          <w:noProof/>
          <w:sz w:val="32"/>
          <w:szCs w:val="32"/>
          <w:u w:val="single"/>
        </w:rPr>
        <w:drawing>
          <wp:anchor distT="0" distB="0" distL="114300" distR="114300" simplePos="0" relativeHeight="251659776" behindDoc="1" locked="0" layoutInCell="1" allowOverlap="1" wp14:anchorId="79DFCE2F" wp14:editId="6EA6E014">
            <wp:simplePos x="0" y="0"/>
            <wp:positionH relativeFrom="column">
              <wp:posOffset>3772535</wp:posOffset>
            </wp:positionH>
            <wp:positionV relativeFrom="paragraph">
              <wp:posOffset>325120</wp:posOffset>
            </wp:positionV>
            <wp:extent cx="3341370" cy="907415"/>
            <wp:effectExtent l="0" t="0" r="0" b="0"/>
            <wp:wrapTight wrapText="bothSides">
              <wp:wrapPolygon edited="0">
                <wp:start x="0" y="0"/>
                <wp:lineTo x="0" y="21162"/>
                <wp:lineTo x="21510" y="21162"/>
                <wp:lineTo x="215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3341370" cy="907415"/>
                    </a:xfrm>
                    <a:prstGeom prst="rect">
                      <a:avLst/>
                    </a:prstGeom>
                  </pic:spPr>
                </pic:pic>
              </a:graphicData>
            </a:graphic>
            <wp14:sizeRelH relativeFrom="page">
              <wp14:pctWidth>0</wp14:pctWidth>
            </wp14:sizeRelH>
            <wp14:sizeRelV relativeFrom="page">
              <wp14:pctHeight>0</wp14:pctHeight>
            </wp14:sizeRelV>
          </wp:anchor>
        </w:drawing>
      </w:r>
      <w:r w:rsidR="005941B1" w:rsidRPr="005A7C2E">
        <w:rPr>
          <w:rFonts w:ascii="Comic Sans MS" w:hAnsi="Comic Sans MS"/>
          <w:b/>
          <w:sz w:val="32"/>
          <w:szCs w:val="32"/>
          <w:u w:val="single"/>
        </w:rPr>
        <w:t xml:space="preserve">Natural Hazard </w:t>
      </w:r>
      <w:r w:rsidRPr="005A7C2E">
        <w:rPr>
          <w:rFonts w:ascii="Comic Sans MS" w:hAnsi="Comic Sans MS"/>
          <w:b/>
          <w:sz w:val="32"/>
          <w:szCs w:val="32"/>
          <w:u w:val="single"/>
        </w:rPr>
        <w:t>Evaluation</w:t>
      </w:r>
    </w:p>
    <w:p w14:paraId="68844516" w14:textId="65C4CEE2" w:rsidR="004E3209" w:rsidRDefault="004E3209" w:rsidP="005941B1">
      <w:pPr>
        <w:rPr>
          <w:rFonts w:ascii="Comic Sans MS" w:hAnsi="Comic Sans MS"/>
          <w:b/>
          <w:sz w:val="32"/>
          <w:szCs w:val="32"/>
        </w:rPr>
      </w:pPr>
      <w:r>
        <w:rPr>
          <w:rFonts w:ascii="Comic Sans MS" w:hAnsi="Comic Sans MS"/>
          <w:b/>
          <w:noProof/>
          <w:sz w:val="32"/>
          <w:szCs w:val="32"/>
        </w:rPr>
        <w:drawing>
          <wp:anchor distT="0" distB="0" distL="114300" distR="114300" simplePos="0" relativeHeight="251660800" behindDoc="1" locked="0" layoutInCell="1" allowOverlap="1" wp14:anchorId="0F059F14" wp14:editId="23660A07">
            <wp:simplePos x="0" y="0"/>
            <wp:positionH relativeFrom="column">
              <wp:posOffset>7620</wp:posOffset>
            </wp:positionH>
            <wp:positionV relativeFrom="paragraph">
              <wp:posOffset>902970</wp:posOffset>
            </wp:positionV>
            <wp:extent cx="6927215" cy="3610610"/>
            <wp:effectExtent l="0" t="0" r="0" b="0"/>
            <wp:wrapTight wrapText="bothSides">
              <wp:wrapPolygon edited="0">
                <wp:start x="0" y="0"/>
                <wp:lineTo x="0" y="21501"/>
                <wp:lineTo x="21543" y="21501"/>
                <wp:lineTo x="215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6927215" cy="3610610"/>
                    </a:xfrm>
                    <a:prstGeom prst="rect">
                      <a:avLst/>
                    </a:prstGeom>
                  </pic:spPr>
                </pic:pic>
              </a:graphicData>
            </a:graphic>
            <wp14:sizeRelH relativeFrom="page">
              <wp14:pctWidth>0</wp14:pctWidth>
            </wp14:sizeRelH>
            <wp14:sizeRelV relativeFrom="page">
              <wp14:pctHeight>0</wp14:pctHeight>
            </wp14:sizeRelV>
          </wp:anchor>
        </w:drawing>
      </w:r>
      <w:r w:rsidR="005941B1" w:rsidRPr="005941B1">
        <w:rPr>
          <w:rFonts w:ascii="Comic Sans MS" w:hAnsi="Comic Sans MS"/>
          <w:b/>
          <w:sz w:val="32"/>
          <w:szCs w:val="32"/>
        </w:rPr>
        <w:t>Type of Hazard: ____________________________</w:t>
      </w:r>
    </w:p>
    <w:p w14:paraId="4A41A132" w14:textId="77777777" w:rsidR="004E3209" w:rsidRPr="005941B1" w:rsidRDefault="004E3209" w:rsidP="005941B1">
      <w:pPr>
        <w:rPr>
          <w:rFonts w:ascii="Comic Sans MS" w:hAnsi="Comic Sans MS"/>
          <w:b/>
          <w:sz w:val="32"/>
          <w:szCs w:val="32"/>
        </w:rPr>
      </w:pPr>
    </w:p>
    <w:tbl>
      <w:tblPr>
        <w:tblStyle w:val="TableGrid"/>
        <w:tblW w:w="10795" w:type="dxa"/>
        <w:tblLook w:val="04A0" w:firstRow="1" w:lastRow="0" w:firstColumn="1" w:lastColumn="0" w:noHBand="0" w:noVBand="1"/>
      </w:tblPr>
      <w:tblGrid>
        <w:gridCol w:w="714"/>
        <w:gridCol w:w="10081"/>
      </w:tblGrid>
      <w:tr w:rsidR="005A7C2E" w:rsidRPr="005A7C2E" w14:paraId="189B3834" w14:textId="77777777" w:rsidTr="004E3209">
        <w:trPr>
          <w:trHeight w:val="998"/>
        </w:trPr>
        <w:tc>
          <w:tcPr>
            <w:tcW w:w="714" w:type="dxa"/>
            <w:vMerge w:val="restart"/>
            <w:shd w:val="clear" w:color="auto" w:fill="EAF1DD" w:themeFill="accent3" w:themeFillTint="33"/>
            <w:textDirection w:val="btLr"/>
          </w:tcPr>
          <w:p w14:paraId="60617B58" w14:textId="216B8D7C" w:rsidR="005A7C2E" w:rsidRPr="005A7C2E" w:rsidRDefault="005A7C2E" w:rsidP="005A7C2E">
            <w:pPr>
              <w:ind w:left="113" w:right="113"/>
              <w:jc w:val="right"/>
              <w:rPr>
                <w:rFonts w:ascii="Avenir Next" w:hAnsi="Avenir Next"/>
                <w:b/>
                <w:bCs/>
                <w:sz w:val="36"/>
                <w:szCs w:val="36"/>
              </w:rPr>
            </w:pPr>
            <w:r w:rsidRPr="005A7C2E">
              <w:rPr>
                <w:rFonts w:ascii="Avenir Next" w:hAnsi="Avenir Next"/>
                <w:b/>
                <w:bCs/>
                <w:sz w:val="36"/>
                <w:szCs w:val="36"/>
              </w:rPr>
              <w:t xml:space="preserve"> Threat </w:t>
            </w:r>
          </w:p>
        </w:tc>
        <w:tc>
          <w:tcPr>
            <w:tcW w:w="10081" w:type="dxa"/>
            <w:shd w:val="clear" w:color="auto" w:fill="EAF1DD" w:themeFill="accent3" w:themeFillTint="33"/>
          </w:tcPr>
          <w:p w14:paraId="536303F2" w14:textId="5606DD37" w:rsidR="005A7C2E" w:rsidRPr="005A7C2E" w:rsidRDefault="005A7C2E" w:rsidP="005941B1">
            <w:pPr>
              <w:rPr>
                <w:rFonts w:ascii="Avenir Next" w:hAnsi="Avenir Next"/>
              </w:rPr>
            </w:pPr>
            <w:r w:rsidRPr="005A7C2E">
              <w:rPr>
                <w:rFonts w:ascii="Avenir Next" w:hAnsi="Avenir Next"/>
                <w:b/>
                <w:bCs/>
                <w:u w:val="single"/>
              </w:rPr>
              <w:t>Regularity</w:t>
            </w:r>
            <w:r w:rsidRPr="005A7C2E">
              <w:rPr>
                <w:rFonts w:ascii="Avenir Next" w:hAnsi="Avenir Next"/>
              </w:rPr>
              <w:t xml:space="preserve"> </w:t>
            </w:r>
            <w:r>
              <w:rPr>
                <w:rFonts w:ascii="Avenir Next" w:hAnsi="Avenir Next"/>
              </w:rPr>
              <w:t xml:space="preserve">– How </w:t>
            </w:r>
            <w:r w:rsidRPr="005A7C2E">
              <w:rPr>
                <w:rFonts w:ascii="Avenir Next" w:hAnsi="Avenir Next"/>
              </w:rPr>
              <w:t xml:space="preserve">often </w:t>
            </w:r>
            <w:r>
              <w:rPr>
                <w:rFonts w:ascii="Avenir Next" w:hAnsi="Avenir Next"/>
              </w:rPr>
              <w:t xml:space="preserve">does this hazard occur? </w:t>
            </w:r>
            <w:r w:rsidRPr="005A7C2E">
              <w:rPr>
                <w:rFonts w:ascii="Avenir Next" w:hAnsi="Avenir Next"/>
              </w:rPr>
              <w:t xml:space="preserve">e.g., </w:t>
            </w:r>
            <w:r>
              <w:rPr>
                <w:rFonts w:ascii="Avenir Next" w:hAnsi="Avenir Next"/>
              </w:rPr>
              <w:t>hurricanes are annual threats</w:t>
            </w:r>
            <w:r w:rsidRPr="005A7C2E">
              <w:rPr>
                <w:rFonts w:ascii="Avenir Next" w:hAnsi="Avenir Next"/>
              </w:rPr>
              <w:t>, countries can be hit by repeated storms each causing greater damage because it has not been possible to recover from previous damage</w:t>
            </w:r>
          </w:p>
        </w:tc>
      </w:tr>
      <w:tr w:rsidR="005A7C2E" w:rsidRPr="005A7C2E" w14:paraId="313574B3" w14:textId="77777777" w:rsidTr="004E3209">
        <w:trPr>
          <w:trHeight w:val="315"/>
        </w:trPr>
        <w:tc>
          <w:tcPr>
            <w:tcW w:w="714" w:type="dxa"/>
            <w:vMerge/>
          </w:tcPr>
          <w:p w14:paraId="3AD1090D" w14:textId="77777777" w:rsidR="005A7C2E" w:rsidRDefault="005A7C2E" w:rsidP="005941B1">
            <w:pPr>
              <w:rPr>
                <w:rFonts w:ascii="Avenir Next" w:hAnsi="Avenir Next"/>
              </w:rPr>
            </w:pPr>
          </w:p>
        </w:tc>
        <w:tc>
          <w:tcPr>
            <w:tcW w:w="10081" w:type="dxa"/>
          </w:tcPr>
          <w:p w14:paraId="7D327381" w14:textId="77777777" w:rsidR="005A7C2E" w:rsidRDefault="005A7C2E" w:rsidP="005941B1">
            <w:pPr>
              <w:rPr>
                <w:rFonts w:ascii="Avenir Next" w:hAnsi="Avenir Next"/>
              </w:rPr>
            </w:pPr>
          </w:p>
          <w:p w14:paraId="18ED0100" w14:textId="77777777" w:rsidR="005A7C2E" w:rsidRDefault="005A7C2E" w:rsidP="005941B1">
            <w:pPr>
              <w:rPr>
                <w:rFonts w:ascii="Avenir Next" w:hAnsi="Avenir Next"/>
              </w:rPr>
            </w:pPr>
          </w:p>
          <w:p w14:paraId="1D5FFBA4" w14:textId="77777777" w:rsidR="005A7C2E" w:rsidRDefault="005A7C2E" w:rsidP="005941B1">
            <w:pPr>
              <w:rPr>
                <w:rFonts w:ascii="Avenir Next" w:hAnsi="Avenir Next"/>
              </w:rPr>
            </w:pPr>
          </w:p>
          <w:p w14:paraId="322DA47E" w14:textId="6DDCEA5B" w:rsidR="005A7C2E" w:rsidRDefault="005A7C2E" w:rsidP="005941B1">
            <w:pPr>
              <w:rPr>
                <w:rFonts w:ascii="Avenir Next" w:hAnsi="Avenir Next"/>
              </w:rPr>
            </w:pPr>
          </w:p>
          <w:p w14:paraId="4F17978C" w14:textId="77777777" w:rsidR="005A7C2E" w:rsidRDefault="005A7C2E" w:rsidP="005941B1">
            <w:pPr>
              <w:rPr>
                <w:rFonts w:ascii="Avenir Next" w:hAnsi="Avenir Next"/>
              </w:rPr>
            </w:pPr>
          </w:p>
          <w:p w14:paraId="2F497C61" w14:textId="06457888" w:rsidR="005A7C2E" w:rsidRPr="005A7C2E" w:rsidRDefault="005A7C2E" w:rsidP="005941B1">
            <w:pPr>
              <w:rPr>
                <w:rFonts w:ascii="Avenir Next" w:hAnsi="Avenir Next"/>
              </w:rPr>
            </w:pPr>
          </w:p>
        </w:tc>
      </w:tr>
      <w:tr w:rsidR="005A7C2E" w:rsidRPr="005A7C2E" w14:paraId="358F0E84" w14:textId="77777777" w:rsidTr="004E3209">
        <w:trPr>
          <w:trHeight w:val="1358"/>
        </w:trPr>
        <w:tc>
          <w:tcPr>
            <w:tcW w:w="714" w:type="dxa"/>
            <w:vMerge/>
            <w:shd w:val="clear" w:color="auto" w:fill="EAF1DD" w:themeFill="accent3" w:themeFillTint="33"/>
          </w:tcPr>
          <w:p w14:paraId="5B72A8C4" w14:textId="77777777" w:rsidR="005A7C2E" w:rsidRPr="005A7C2E" w:rsidRDefault="005A7C2E" w:rsidP="005A7C2E">
            <w:pPr>
              <w:rPr>
                <w:rFonts w:ascii="Avenir Next" w:hAnsi="Avenir Next"/>
                <w:b/>
              </w:rPr>
            </w:pPr>
          </w:p>
        </w:tc>
        <w:tc>
          <w:tcPr>
            <w:tcW w:w="10081" w:type="dxa"/>
            <w:shd w:val="clear" w:color="auto" w:fill="EAF1DD" w:themeFill="accent3" w:themeFillTint="33"/>
          </w:tcPr>
          <w:p w14:paraId="58F4773C" w14:textId="1C0C3A43" w:rsidR="005A7C2E" w:rsidRPr="005A7C2E" w:rsidRDefault="005A7C2E" w:rsidP="005941B1">
            <w:pPr>
              <w:rPr>
                <w:rFonts w:ascii="Avenir Next" w:hAnsi="Avenir Next"/>
              </w:rPr>
            </w:pPr>
            <w:r w:rsidRPr="005A7C2E">
              <w:rPr>
                <w:rFonts w:ascii="Avenir Next" w:hAnsi="Avenir Next"/>
                <w:b/>
              </w:rPr>
              <w:t xml:space="preserve">Frequency </w:t>
            </w:r>
            <w:r>
              <w:rPr>
                <w:rFonts w:ascii="Avenir Next" w:hAnsi="Avenir Next"/>
                <w:b/>
              </w:rPr>
              <w:t xml:space="preserve">– </w:t>
            </w:r>
            <w:r w:rsidRPr="005A7C2E">
              <w:rPr>
                <w:rFonts w:ascii="Avenir Next" w:hAnsi="Avenir Next"/>
                <w:bCs/>
              </w:rPr>
              <w:t>H</w:t>
            </w:r>
            <w:r>
              <w:t xml:space="preserve">ow frequent are large/severe hazards? </w:t>
            </w:r>
            <w:r w:rsidRPr="005A7C2E">
              <w:rPr>
                <w:rFonts w:ascii="Avenir Next" w:hAnsi="Avenir Next"/>
                <w:bCs/>
              </w:rPr>
              <w:t>The return interval of hazards of certain sizes. For example, earthquakes with a magnitude of over 8.0 happen on average once a year, but earthquakes of only 3 or 4 happen many times a day. If the hazard is a less frequent strong event, then it is going to have a bigger impact</w:t>
            </w:r>
            <w:r>
              <w:rPr>
                <w:rFonts w:ascii="Avenir Next" w:hAnsi="Avenir Next"/>
                <w:bCs/>
              </w:rPr>
              <w:t>.</w:t>
            </w:r>
          </w:p>
        </w:tc>
      </w:tr>
      <w:tr w:rsidR="005A7C2E" w:rsidRPr="005A7C2E" w14:paraId="3EBB0FF2" w14:textId="77777777" w:rsidTr="004E3209">
        <w:trPr>
          <w:trHeight w:val="642"/>
        </w:trPr>
        <w:tc>
          <w:tcPr>
            <w:tcW w:w="714" w:type="dxa"/>
            <w:vMerge/>
          </w:tcPr>
          <w:p w14:paraId="0BCBE1D2" w14:textId="77777777" w:rsidR="005A7C2E" w:rsidRPr="005A7C2E" w:rsidRDefault="005A7C2E" w:rsidP="005941B1">
            <w:pPr>
              <w:rPr>
                <w:rFonts w:ascii="Avenir Next" w:hAnsi="Avenir Next"/>
              </w:rPr>
            </w:pPr>
          </w:p>
        </w:tc>
        <w:tc>
          <w:tcPr>
            <w:tcW w:w="10081" w:type="dxa"/>
          </w:tcPr>
          <w:p w14:paraId="4C2CB000" w14:textId="58C1544D" w:rsidR="005A7C2E" w:rsidRPr="005A7C2E" w:rsidRDefault="005A7C2E" w:rsidP="005941B1">
            <w:pPr>
              <w:rPr>
                <w:rFonts w:ascii="Avenir Next" w:hAnsi="Avenir Next"/>
              </w:rPr>
            </w:pPr>
          </w:p>
          <w:p w14:paraId="5A32C8D8" w14:textId="571DC4AD" w:rsidR="005A7C2E" w:rsidRDefault="005A7C2E" w:rsidP="005941B1">
            <w:pPr>
              <w:rPr>
                <w:rFonts w:ascii="Avenir Next" w:hAnsi="Avenir Next"/>
              </w:rPr>
            </w:pPr>
          </w:p>
          <w:p w14:paraId="2C0F137D" w14:textId="77777777" w:rsidR="005A7C2E" w:rsidRDefault="005A7C2E" w:rsidP="005941B1">
            <w:pPr>
              <w:rPr>
                <w:rFonts w:ascii="Avenir Next" w:hAnsi="Avenir Next"/>
              </w:rPr>
            </w:pPr>
          </w:p>
          <w:p w14:paraId="38B0649F" w14:textId="77777777" w:rsidR="005A7C2E" w:rsidRDefault="005A7C2E" w:rsidP="005941B1">
            <w:pPr>
              <w:rPr>
                <w:rFonts w:ascii="Avenir Next" w:hAnsi="Avenir Next"/>
              </w:rPr>
            </w:pPr>
          </w:p>
          <w:p w14:paraId="40BC6B06" w14:textId="77777777" w:rsidR="005A7C2E" w:rsidRDefault="005A7C2E" w:rsidP="005941B1">
            <w:pPr>
              <w:rPr>
                <w:rFonts w:ascii="Avenir Next" w:hAnsi="Avenir Next"/>
              </w:rPr>
            </w:pPr>
          </w:p>
          <w:p w14:paraId="3191BAE1" w14:textId="6210FCBB" w:rsidR="005A7C2E" w:rsidRPr="005A7C2E" w:rsidRDefault="005A7C2E" w:rsidP="005941B1">
            <w:pPr>
              <w:rPr>
                <w:rFonts w:ascii="Avenir Next" w:hAnsi="Avenir Next"/>
              </w:rPr>
            </w:pPr>
          </w:p>
        </w:tc>
      </w:tr>
      <w:tr w:rsidR="005A7C2E" w:rsidRPr="005A7C2E" w14:paraId="536360B9" w14:textId="77777777" w:rsidTr="004E3209">
        <w:trPr>
          <w:trHeight w:val="998"/>
        </w:trPr>
        <w:tc>
          <w:tcPr>
            <w:tcW w:w="714" w:type="dxa"/>
            <w:vMerge/>
            <w:shd w:val="clear" w:color="auto" w:fill="EAF1DD" w:themeFill="accent3" w:themeFillTint="33"/>
          </w:tcPr>
          <w:p w14:paraId="314107EF" w14:textId="77777777" w:rsidR="005A7C2E" w:rsidRPr="005A7C2E" w:rsidRDefault="005A7C2E" w:rsidP="005A7C2E">
            <w:pPr>
              <w:rPr>
                <w:rFonts w:ascii="Avenir Next" w:hAnsi="Avenir Next"/>
                <w:b/>
              </w:rPr>
            </w:pPr>
          </w:p>
        </w:tc>
        <w:tc>
          <w:tcPr>
            <w:tcW w:w="10081" w:type="dxa"/>
            <w:shd w:val="clear" w:color="auto" w:fill="EAF1DD" w:themeFill="accent3" w:themeFillTint="33"/>
          </w:tcPr>
          <w:p w14:paraId="295F9853" w14:textId="17629DE6" w:rsidR="005A7C2E" w:rsidRPr="005A7C2E" w:rsidRDefault="005A7C2E" w:rsidP="005941B1">
            <w:pPr>
              <w:rPr>
                <w:rFonts w:ascii="Avenir Next" w:hAnsi="Avenir Next"/>
              </w:rPr>
            </w:pPr>
            <w:r w:rsidRPr="005A7C2E">
              <w:rPr>
                <w:rFonts w:ascii="Avenir Next" w:hAnsi="Avenir Next"/>
                <w:b/>
              </w:rPr>
              <w:t xml:space="preserve">Magnitude </w:t>
            </w:r>
            <w:r>
              <w:rPr>
                <w:rFonts w:ascii="Avenir Next" w:hAnsi="Avenir Next"/>
                <w:b/>
              </w:rPr>
              <w:t>–</w:t>
            </w:r>
            <w:r w:rsidRPr="005A7C2E">
              <w:rPr>
                <w:rFonts w:ascii="Avenir Next" w:hAnsi="Avenir Next"/>
                <w:b/>
              </w:rPr>
              <w:t xml:space="preserve"> </w:t>
            </w:r>
            <w:r w:rsidRPr="005A7C2E">
              <w:rPr>
                <w:rFonts w:ascii="Avenir Next" w:hAnsi="Avenir Next"/>
                <w:bCs/>
              </w:rPr>
              <w:t>H</w:t>
            </w:r>
            <w:r>
              <w:t xml:space="preserve">ow strong is the hazard?  </w:t>
            </w:r>
            <w:r w:rsidRPr="005A7C2E">
              <w:rPr>
                <w:rFonts w:ascii="Avenir Next" w:hAnsi="Avenir Next"/>
                <w:bCs/>
              </w:rPr>
              <w:t xml:space="preserve">This is the strength of a hazard. Most hazards are measured on a scale e.g., the Richter scale or the </w:t>
            </w:r>
            <w:r>
              <w:rPr>
                <w:rFonts w:ascii="Avenir Next" w:hAnsi="Avenir Next"/>
                <w:bCs/>
              </w:rPr>
              <w:t>S</w:t>
            </w:r>
            <w:r>
              <w:t>affir - Simpson Scale.</w:t>
            </w:r>
            <w:r w:rsidRPr="005A7C2E">
              <w:rPr>
                <w:rFonts w:ascii="Avenir Next" w:hAnsi="Avenir Next"/>
                <w:bCs/>
              </w:rPr>
              <w:t xml:space="preserve"> Generally speaking, the stronger the hazard the more severe the hazard is</w:t>
            </w:r>
            <w:r>
              <w:rPr>
                <w:rFonts w:ascii="Avenir Next" w:hAnsi="Avenir Next"/>
                <w:bCs/>
              </w:rPr>
              <w:t>.</w:t>
            </w:r>
          </w:p>
        </w:tc>
      </w:tr>
      <w:tr w:rsidR="005A7C2E" w:rsidRPr="005A7C2E" w14:paraId="64074F75" w14:textId="77777777" w:rsidTr="004E3209">
        <w:trPr>
          <w:trHeight w:val="642"/>
        </w:trPr>
        <w:tc>
          <w:tcPr>
            <w:tcW w:w="714" w:type="dxa"/>
            <w:vMerge/>
          </w:tcPr>
          <w:p w14:paraId="1BCDF1FE" w14:textId="77777777" w:rsidR="005A7C2E" w:rsidRPr="005A7C2E" w:rsidRDefault="005A7C2E" w:rsidP="005941B1">
            <w:pPr>
              <w:rPr>
                <w:rFonts w:ascii="Avenir Next" w:hAnsi="Avenir Next"/>
              </w:rPr>
            </w:pPr>
          </w:p>
        </w:tc>
        <w:tc>
          <w:tcPr>
            <w:tcW w:w="10081" w:type="dxa"/>
          </w:tcPr>
          <w:p w14:paraId="2682785E" w14:textId="26DA3271" w:rsidR="005A7C2E" w:rsidRPr="005A7C2E" w:rsidRDefault="005A7C2E" w:rsidP="005941B1">
            <w:pPr>
              <w:rPr>
                <w:rFonts w:ascii="Avenir Next" w:hAnsi="Avenir Next"/>
              </w:rPr>
            </w:pPr>
          </w:p>
          <w:p w14:paraId="4F8887AD" w14:textId="77777777" w:rsidR="005A7C2E" w:rsidRDefault="005A7C2E" w:rsidP="005941B1">
            <w:pPr>
              <w:rPr>
                <w:rFonts w:ascii="Avenir Next" w:hAnsi="Avenir Next"/>
              </w:rPr>
            </w:pPr>
          </w:p>
          <w:p w14:paraId="314475B0" w14:textId="77777777" w:rsidR="005A7C2E" w:rsidRDefault="005A7C2E" w:rsidP="005941B1">
            <w:pPr>
              <w:rPr>
                <w:rFonts w:ascii="Avenir Next" w:hAnsi="Avenir Next"/>
              </w:rPr>
            </w:pPr>
          </w:p>
          <w:p w14:paraId="4C917207" w14:textId="596B78CD" w:rsidR="005A7C2E" w:rsidRDefault="005A7C2E" w:rsidP="005941B1">
            <w:pPr>
              <w:rPr>
                <w:rFonts w:ascii="Avenir Next" w:hAnsi="Avenir Next"/>
              </w:rPr>
            </w:pPr>
          </w:p>
          <w:p w14:paraId="0B063AE0" w14:textId="6D8C3EDE" w:rsidR="005A7C2E" w:rsidRDefault="005A7C2E" w:rsidP="005941B1">
            <w:pPr>
              <w:rPr>
                <w:rFonts w:ascii="Avenir Next" w:hAnsi="Avenir Next"/>
              </w:rPr>
            </w:pPr>
          </w:p>
          <w:p w14:paraId="3854B86C" w14:textId="77777777" w:rsidR="005A7C2E" w:rsidRDefault="005A7C2E" w:rsidP="005941B1">
            <w:pPr>
              <w:rPr>
                <w:rFonts w:ascii="Avenir Next" w:hAnsi="Avenir Next"/>
              </w:rPr>
            </w:pPr>
          </w:p>
          <w:p w14:paraId="2321D579" w14:textId="2A63AA85" w:rsidR="005A7C2E" w:rsidRPr="005A7C2E" w:rsidRDefault="005A7C2E" w:rsidP="005941B1">
            <w:pPr>
              <w:rPr>
                <w:rFonts w:ascii="Avenir Next" w:hAnsi="Avenir Next"/>
              </w:rPr>
            </w:pPr>
          </w:p>
        </w:tc>
      </w:tr>
      <w:tr w:rsidR="005A7C2E" w:rsidRPr="005A7C2E" w14:paraId="5A5D6482" w14:textId="77777777" w:rsidTr="004E3209">
        <w:trPr>
          <w:trHeight w:val="1349"/>
        </w:trPr>
        <w:tc>
          <w:tcPr>
            <w:tcW w:w="714" w:type="dxa"/>
            <w:vMerge/>
            <w:shd w:val="clear" w:color="auto" w:fill="EAF1DD" w:themeFill="accent3" w:themeFillTint="33"/>
          </w:tcPr>
          <w:p w14:paraId="37A99F34" w14:textId="77777777" w:rsidR="005A7C2E" w:rsidRPr="005A7C2E" w:rsidRDefault="005A7C2E" w:rsidP="005A7C2E">
            <w:pPr>
              <w:rPr>
                <w:rFonts w:ascii="Avenir Next" w:hAnsi="Avenir Next"/>
                <w:b/>
              </w:rPr>
            </w:pPr>
          </w:p>
        </w:tc>
        <w:tc>
          <w:tcPr>
            <w:tcW w:w="10081" w:type="dxa"/>
            <w:shd w:val="clear" w:color="auto" w:fill="EAF1DD" w:themeFill="accent3" w:themeFillTint="33"/>
          </w:tcPr>
          <w:p w14:paraId="078026CE" w14:textId="02D05BDA" w:rsidR="005A7C2E" w:rsidRPr="005A7C2E" w:rsidRDefault="005A7C2E" w:rsidP="005941B1">
            <w:pPr>
              <w:rPr>
                <w:rFonts w:ascii="Avenir Next" w:hAnsi="Avenir Next"/>
              </w:rPr>
            </w:pPr>
            <w:r w:rsidRPr="005A7C2E">
              <w:rPr>
                <w:rFonts w:ascii="Avenir Next" w:hAnsi="Avenir Next"/>
                <w:b/>
              </w:rPr>
              <w:t xml:space="preserve">Duration </w:t>
            </w:r>
            <w:r>
              <w:rPr>
                <w:rFonts w:ascii="Avenir Next" w:hAnsi="Avenir Next"/>
                <w:bCs/>
              </w:rPr>
              <w:t>–</w:t>
            </w:r>
            <w:r w:rsidRPr="005A7C2E">
              <w:rPr>
                <w:rFonts w:ascii="Avenir Next" w:hAnsi="Avenir Next"/>
                <w:bCs/>
              </w:rPr>
              <w:t xml:space="preserve"> </w:t>
            </w:r>
            <w:r>
              <w:rPr>
                <w:rFonts w:ascii="Avenir Next" w:hAnsi="Avenir Next"/>
                <w:bCs/>
              </w:rPr>
              <w:t xml:space="preserve">How long does the hazard last? </w:t>
            </w:r>
            <w:r w:rsidRPr="005A7C2E">
              <w:rPr>
                <w:rFonts w:ascii="Avenir Next" w:hAnsi="Avenir Next"/>
                <w:bCs/>
              </w:rPr>
              <w:t>As a general rule the longer the hazard the more severe it is likely to be. For example, an earthquake that lasts 1 minute is likely to be more severe than one that last two seconds and a drought that lasts ten years is likely to be more severe than one that last three months.</w:t>
            </w:r>
          </w:p>
        </w:tc>
      </w:tr>
      <w:tr w:rsidR="005A7C2E" w:rsidRPr="005A7C2E" w14:paraId="77BF97A9" w14:textId="77777777" w:rsidTr="004E3209">
        <w:trPr>
          <w:trHeight w:val="1273"/>
        </w:trPr>
        <w:tc>
          <w:tcPr>
            <w:tcW w:w="714" w:type="dxa"/>
            <w:vMerge/>
          </w:tcPr>
          <w:p w14:paraId="0F273E6A" w14:textId="77777777" w:rsidR="005A7C2E" w:rsidRPr="005A7C2E" w:rsidRDefault="005A7C2E" w:rsidP="005941B1">
            <w:pPr>
              <w:rPr>
                <w:rFonts w:ascii="Avenir Next" w:hAnsi="Avenir Next"/>
              </w:rPr>
            </w:pPr>
          </w:p>
        </w:tc>
        <w:tc>
          <w:tcPr>
            <w:tcW w:w="10081" w:type="dxa"/>
          </w:tcPr>
          <w:p w14:paraId="4BE5A77E" w14:textId="014D57A0" w:rsidR="005A7C2E" w:rsidRPr="005A7C2E" w:rsidRDefault="005A7C2E" w:rsidP="005941B1">
            <w:pPr>
              <w:rPr>
                <w:rFonts w:ascii="Avenir Next" w:hAnsi="Avenir Next"/>
              </w:rPr>
            </w:pPr>
          </w:p>
          <w:p w14:paraId="44576590" w14:textId="77777777" w:rsidR="005A7C2E" w:rsidRPr="005A7C2E" w:rsidRDefault="005A7C2E" w:rsidP="005941B1">
            <w:pPr>
              <w:rPr>
                <w:rFonts w:ascii="Avenir Next" w:hAnsi="Avenir Next"/>
              </w:rPr>
            </w:pPr>
          </w:p>
          <w:p w14:paraId="354781D4" w14:textId="77777777" w:rsidR="005A7C2E" w:rsidRPr="005A7C2E" w:rsidRDefault="005A7C2E" w:rsidP="005941B1">
            <w:pPr>
              <w:rPr>
                <w:rFonts w:ascii="Avenir Next" w:hAnsi="Avenir Next"/>
              </w:rPr>
            </w:pPr>
          </w:p>
          <w:p w14:paraId="2C6BA559" w14:textId="2F6CEC80" w:rsidR="005A7C2E" w:rsidRDefault="005A7C2E" w:rsidP="005941B1">
            <w:pPr>
              <w:rPr>
                <w:rFonts w:ascii="Avenir Next" w:hAnsi="Avenir Next"/>
              </w:rPr>
            </w:pPr>
          </w:p>
          <w:p w14:paraId="00B9A8C5" w14:textId="77777777" w:rsidR="005A7C2E" w:rsidRDefault="005A7C2E" w:rsidP="005941B1">
            <w:pPr>
              <w:rPr>
                <w:rFonts w:ascii="Avenir Next" w:hAnsi="Avenir Next"/>
              </w:rPr>
            </w:pPr>
          </w:p>
          <w:p w14:paraId="134C78B6" w14:textId="7E5C0D00" w:rsidR="005A7C2E" w:rsidRPr="005A7C2E" w:rsidRDefault="005A7C2E" w:rsidP="005941B1">
            <w:pPr>
              <w:rPr>
                <w:rFonts w:ascii="Avenir Next" w:hAnsi="Avenir Next"/>
              </w:rPr>
            </w:pPr>
          </w:p>
        </w:tc>
      </w:tr>
      <w:tr w:rsidR="005A7C2E" w:rsidRPr="005A7C2E" w14:paraId="466A9670" w14:textId="77777777" w:rsidTr="004E3209">
        <w:trPr>
          <w:trHeight w:val="701"/>
        </w:trPr>
        <w:tc>
          <w:tcPr>
            <w:tcW w:w="714" w:type="dxa"/>
            <w:vMerge/>
            <w:shd w:val="clear" w:color="auto" w:fill="EAF1DD" w:themeFill="accent3" w:themeFillTint="33"/>
          </w:tcPr>
          <w:p w14:paraId="53C40A29" w14:textId="77777777" w:rsidR="005A7C2E" w:rsidRPr="005A7C2E" w:rsidRDefault="005A7C2E" w:rsidP="005A7C2E">
            <w:pPr>
              <w:rPr>
                <w:rFonts w:ascii="Avenir Next" w:hAnsi="Avenir Next"/>
                <w:b/>
              </w:rPr>
            </w:pPr>
          </w:p>
        </w:tc>
        <w:tc>
          <w:tcPr>
            <w:tcW w:w="10081" w:type="dxa"/>
            <w:shd w:val="clear" w:color="auto" w:fill="EAF1DD" w:themeFill="accent3" w:themeFillTint="33"/>
          </w:tcPr>
          <w:p w14:paraId="0C2A1B6B" w14:textId="38B313FC" w:rsidR="005A7C2E" w:rsidRPr="005A7C2E" w:rsidRDefault="005A7C2E" w:rsidP="005941B1">
            <w:pPr>
              <w:rPr>
                <w:rFonts w:ascii="Avenir Next" w:hAnsi="Avenir Next"/>
              </w:rPr>
            </w:pPr>
            <w:r w:rsidRPr="005A7C2E">
              <w:rPr>
                <w:rFonts w:ascii="Avenir Next" w:hAnsi="Avenir Next"/>
                <w:b/>
              </w:rPr>
              <w:t>Speed of onset -</w:t>
            </w:r>
            <w:r w:rsidRPr="005A7C2E">
              <w:rPr>
                <w:rFonts w:ascii="Avenir Next" w:hAnsi="Avenir Next"/>
                <w:bCs/>
              </w:rPr>
              <w:t xml:space="preserve"> If the peak of the hazard arrives first or arrives quickly </w:t>
            </w:r>
            <w:proofErr w:type="gramStart"/>
            <w:r w:rsidRPr="005A7C2E">
              <w:rPr>
                <w:rFonts w:ascii="Avenir Next" w:hAnsi="Avenir Next"/>
                <w:bCs/>
              </w:rPr>
              <w:t>e.g.</w:t>
            </w:r>
            <w:proofErr w:type="gramEnd"/>
            <w:r w:rsidRPr="005A7C2E">
              <w:rPr>
                <w:rFonts w:ascii="Avenir Next" w:hAnsi="Avenir Next"/>
                <w:bCs/>
              </w:rPr>
              <w:t xml:space="preserve"> an earthquake, then the effects are likely to be worse than one that arrives slowly e.g. a drought.</w:t>
            </w:r>
          </w:p>
        </w:tc>
      </w:tr>
      <w:tr w:rsidR="005A7C2E" w:rsidRPr="005A7C2E" w14:paraId="5927FB34" w14:textId="77777777" w:rsidTr="004E3209">
        <w:trPr>
          <w:trHeight w:val="1273"/>
        </w:trPr>
        <w:tc>
          <w:tcPr>
            <w:tcW w:w="714" w:type="dxa"/>
            <w:vMerge/>
            <w:shd w:val="clear" w:color="auto" w:fill="auto"/>
          </w:tcPr>
          <w:p w14:paraId="06641DC7" w14:textId="77777777" w:rsidR="005A7C2E" w:rsidRPr="005A7C2E" w:rsidRDefault="005A7C2E" w:rsidP="005A7C2E">
            <w:pPr>
              <w:rPr>
                <w:rFonts w:ascii="Avenir Next" w:hAnsi="Avenir Next"/>
                <w:b/>
              </w:rPr>
            </w:pPr>
          </w:p>
        </w:tc>
        <w:tc>
          <w:tcPr>
            <w:tcW w:w="10081" w:type="dxa"/>
            <w:shd w:val="clear" w:color="auto" w:fill="auto"/>
          </w:tcPr>
          <w:p w14:paraId="0F3D452B" w14:textId="77777777" w:rsidR="005A7C2E" w:rsidRDefault="005A7C2E" w:rsidP="005941B1">
            <w:pPr>
              <w:rPr>
                <w:rFonts w:ascii="Avenir Next" w:hAnsi="Avenir Next"/>
                <w:b/>
              </w:rPr>
            </w:pPr>
          </w:p>
          <w:p w14:paraId="77050973" w14:textId="77777777" w:rsidR="005A7C2E" w:rsidRDefault="005A7C2E" w:rsidP="005941B1">
            <w:pPr>
              <w:rPr>
                <w:rFonts w:ascii="Avenir Next" w:hAnsi="Avenir Next"/>
                <w:b/>
              </w:rPr>
            </w:pPr>
          </w:p>
          <w:p w14:paraId="5124AA8D" w14:textId="77777777" w:rsidR="005A7C2E" w:rsidRDefault="005A7C2E" w:rsidP="005941B1">
            <w:pPr>
              <w:rPr>
                <w:rFonts w:ascii="Avenir Next" w:hAnsi="Avenir Next"/>
                <w:b/>
              </w:rPr>
            </w:pPr>
          </w:p>
          <w:p w14:paraId="204AF119" w14:textId="77777777" w:rsidR="005A7C2E" w:rsidRDefault="005A7C2E" w:rsidP="005941B1">
            <w:pPr>
              <w:rPr>
                <w:rFonts w:ascii="Avenir Next" w:hAnsi="Avenir Next"/>
                <w:b/>
              </w:rPr>
            </w:pPr>
          </w:p>
          <w:p w14:paraId="5FF9B50A" w14:textId="77777777" w:rsidR="005A7C2E" w:rsidRDefault="005A7C2E" w:rsidP="005941B1">
            <w:pPr>
              <w:rPr>
                <w:rFonts w:ascii="Avenir Next" w:hAnsi="Avenir Next"/>
                <w:b/>
              </w:rPr>
            </w:pPr>
          </w:p>
          <w:p w14:paraId="5551B68E" w14:textId="77777777" w:rsidR="005A7C2E" w:rsidRDefault="005A7C2E" w:rsidP="005941B1">
            <w:pPr>
              <w:rPr>
                <w:rFonts w:ascii="Avenir Next" w:hAnsi="Avenir Next"/>
                <w:b/>
              </w:rPr>
            </w:pPr>
          </w:p>
          <w:p w14:paraId="49D706AD" w14:textId="09A335C0" w:rsidR="005A7C2E" w:rsidRPr="005A7C2E" w:rsidRDefault="005A7C2E" w:rsidP="005941B1">
            <w:pPr>
              <w:rPr>
                <w:rFonts w:ascii="Avenir Next" w:hAnsi="Avenir Next"/>
                <w:b/>
              </w:rPr>
            </w:pPr>
          </w:p>
        </w:tc>
      </w:tr>
      <w:tr w:rsidR="005A7C2E" w:rsidRPr="005A7C2E" w14:paraId="1CA7DEC4" w14:textId="77777777" w:rsidTr="004E3209">
        <w:trPr>
          <w:trHeight w:val="1313"/>
        </w:trPr>
        <w:tc>
          <w:tcPr>
            <w:tcW w:w="714" w:type="dxa"/>
            <w:vMerge w:val="restart"/>
            <w:shd w:val="clear" w:color="auto" w:fill="DAEEF3" w:themeFill="accent5" w:themeFillTint="33"/>
            <w:textDirection w:val="btLr"/>
          </w:tcPr>
          <w:p w14:paraId="37A6EE44" w14:textId="513C9CC8" w:rsidR="005A7C2E" w:rsidRPr="005A7C2E" w:rsidRDefault="005A7C2E" w:rsidP="005A7C2E">
            <w:pPr>
              <w:ind w:left="113" w:right="113"/>
              <w:jc w:val="right"/>
              <w:rPr>
                <w:rFonts w:ascii="Avenir Next" w:hAnsi="Avenir Next"/>
                <w:b/>
                <w:sz w:val="36"/>
                <w:szCs w:val="36"/>
              </w:rPr>
            </w:pPr>
            <w:r w:rsidRPr="005A7C2E">
              <w:rPr>
                <w:rFonts w:ascii="Avenir Next" w:hAnsi="Avenir Next"/>
                <w:b/>
                <w:sz w:val="36"/>
                <w:szCs w:val="36"/>
              </w:rPr>
              <w:t>Vulnerability</w:t>
            </w:r>
          </w:p>
        </w:tc>
        <w:tc>
          <w:tcPr>
            <w:tcW w:w="10081" w:type="dxa"/>
            <w:shd w:val="clear" w:color="auto" w:fill="DAEEF3" w:themeFill="accent5" w:themeFillTint="33"/>
          </w:tcPr>
          <w:p w14:paraId="46328F14" w14:textId="741DF408" w:rsidR="005A7C2E" w:rsidRPr="005A7C2E" w:rsidRDefault="005A7C2E" w:rsidP="00EE6DD4">
            <w:pPr>
              <w:rPr>
                <w:rFonts w:ascii="Avenir Next" w:hAnsi="Avenir Next"/>
              </w:rPr>
            </w:pPr>
            <w:r w:rsidRPr="005A7C2E">
              <w:rPr>
                <w:rFonts w:ascii="Avenir Next" w:hAnsi="Avenir Next"/>
                <w:b/>
              </w:rPr>
              <w:t>Predictability -</w:t>
            </w:r>
            <w:r w:rsidRPr="005A7C2E">
              <w:rPr>
                <w:rFonts w:ascii="Avenir Next" w:hAnsi="Avenir Next"/>
                <w:bCs/>
              </w:rPr>
              <w:t xml:space="preserve"> Some hazards are easier to predict than others. For example, volcanoes normally give warning signs before they erupt and tropical storms can be tracked from development to landfall. However, others like earthquakes are much harder to predict. Generally speaking, hazards that hit with no warning are going to be more serious.</w:t>
            </w:r>
          </w:p>
        </w:tc>
      </w:tr>
      <w:tr w:rsidR="005A7C2E" w:rsidRPr="005A7C2E" w14:paraId="306452C4" w14:textId="77777777" w:rsidTr="004E3209">
        <w:trPr>
          <w:trHeight w:val="630"/>
        </w:trPr>
        <w:tc>
          <w:tcPr>
            <w:tcW w:w="714" w:type="dxa"/>
            <w:vMerge/>
          </w:tcPr>
          <w:p w14:paraId="5D05C5B9" w14:textId="77777777" w:rsidR="005A7C2E" w:rsidRPr="005A7C2E" w:rsidRDefault="005A7C2E" w:rsidP="00EE6DD4">
            <w:pPr>
              <w:rPr>
                <w:rFonts w:ascii="Avenir Next" w:hAnsi="Avenir Next"/>
                <w:b/>
                <w:sz w:val="36"/>
                <w:szCs w:val="36"/>
              </w:rPr>
            </w:pPr>
          </w:p>
        </w:tc>
        <w:tc>
          <w:tcPr>
            <w:tcW w:w="10081" w:type="dxa"/>
          </w:tcPr>
          <w:p w14:paraId="6F19B947" w14:textId="3AD53B14" w:rsidR="005A7C2E" w:rsidRDefault="005A7C2E" w:rsidP="00EE6DD4">
            <w:pPr>
              <w:rPr>
                <w:rFonts w:ascii="Avenir Next" w:hAnsi="Avenir Next"/>
              </w:rPr>
            </w:pPr>
          </w:p>
          <w:p w14:paraId="214851C6" w14:textId="6E75D4CB" w:rsidR="005A7C2E" w:rsidRDefault="005A7C2E" w:rsidP="00EE6DD4">
            <w:pPr>
              <w:rPr>
                <w:rFonts w:ascii="Avenir Next" w:hAnsi="Avenir Next"/>
              </w:rPr>
            </w:pPr>
          </w:p>
          <w:p w14:paraId="397174F8" w14:textId="50A1266F" w:rsidR="005A7C2E" w:rsidRDefault="005A7C2E" w:rsidP="00EE6DD4">
            <w:pPr>
              <w:rPr>
                <w:rFonts w:ascii="Avenir Next" w:hAnsi="Avenir Next"/>
              </w:rPr>
            </w:pPr>
          </w:p>
          <w:p w14:paraId="514C5015" w14:textId="77A914B6" w:rsidR="005A7C2E" w:rsidRDefault="005A7C2E" w:rsidP="00EE6DD4">
            <w:pPr>
              <w:rPr>
                <w:rFonts w:ascii="Avenir Next" w:hAnsi="Avenir Next"/>
              </w:rPr>
            </w:pPr>
          </w:p>
          <w:p w14:paraId="2C8C7737" w14:textId="77777777" w:rsidR="005A7C2E" w:rsidRPr="005A7C2E" w:rsidRDefault="005A7C2E" w:rsidP="00EE6DD4">
            <w:pPr>
              <w:rPr>
                <w:rFonts w:ascii="Avenir Next" w:hAnsi="Avenir Next"/>
              </w:rPr>
            </w:pPr>
          </w:p>
          <w:p w14:paraId="48E5BBD9" w14:textId="77777777" w:rsidR="005A7C2E" w:rsidRPr="005A7C2E" w:rsidRDefault="005A7C2E" w:rsidP="00EE6DD4">
            <w:pPr>
              <w:rPr>
                <w:rFonts w:ascii="Avenir Next" w:hAnsi="Avenir Next"/>
              </w:rPr>
            </w:pPr>
          </w:p>
        </w:tc>
      </w:tr>
      <w:tr w:rsidR="005A7C2E" w:rsidRPr="005A7C2E" w14:paraId="309E7989" w14:textId="77777777" w:rsidTr="004E3209">
        <w:trPr>
          <w:trHeight w:val="683"/>
        </w:trPr>
        <w:tc>
          <w:tcPr>
            <w:tcW w:w="714" w:type="dxa"/>
            <w:vMerge/>
            <w:shd w:val="clear" w:color="auto" w:fill="DAEEF3" w:themeFill="accent5" w:themeFillTint="33"/>
          </w:tcPr>
          <w:p w14:paraId="081E4485" w14:textId="77777777" w:rsidR="005A7C2E" w:rsidRPr="005A7C2E" w:rsidRDefault="005A7C2E" w:rsidP="005A7C2E">
            <w:pPr>
              <w:rPr>
                <w:rFonts w:ascii="Avenir Next" w:hAnsi="Avenir Next"/>
                <w:b/>
                <w:sz w:val="36"/>
                <w:szCs w:val="36"/>
              </w:rPr>
            </w:pPr>
          </w:p>
        </w:tc>
        <w:tc>
          <w:tcPr>
            <w:tcW w:w="10081" w:type="dxa"/>
            <w:shd w:val="clear" w:color="auto" w:fill="DAEEF3" w:themeFill="accent5" w:themeFillTint="33"/>
          </w:tcPr>
          <w:p w14:paraId="2A80F75D" w14:textId="1B2DC23E" w:rsidR="005A7C2E" w:rsidRPr="005A7C2E" w:rsidRDefault="005A7C2E" w:rsidP="005941B1">
            <w:pPr>
              <w:rPr>
                <w:rFonts w:ascii="Avenir Next" w:hAnsi="Avenir Next"/>
              </w:rPr>
            </w:pPr>
            <w:r w:rsidRPr="005A7C2E">
              <w:rPr>
                <w:rFonts w:ascii="Avenir Next" w:hAnsi="Avenir Next"/>
                <w:b/>
                <w:bCs/>
              </w:rPr>
              <w:t>Areal Extent -</w:t>
            </w:r>
            <w:r w:rsidRPr="005A7C2E">
              <w:rPr>
                <w:rFonts w:ascii="Avenir Next" w:hAnsi="Avenir Next"/>
              </w:rPr>
              <w:t xml:space="preserve"> If a hazard covers a large area </w:t>
            </w:r>
            <w:proofErr w:type="gramStart"/>
            <w:r w:rsidRPr="005A7C2E">
              <w:rPr>
                <w:rFonts w:ascii="Avenir Next" w:hAnsi="Avenir Next"/>
              </w:rPr>
              <w:t>e.g.</w:t>
            </w:r>
            <w:proofErr w:type="gramEnd"/>
            <w:r w:rsidRPr="005A7C2E">
              <w:rPr>
                <w:rFonts w:ascii="Avenir Next" w:hAnsi="Avenir Next"/>
              </w:rPr>
              <w:t xml:space="preserve"> a drought covering the whole of East Africa, then the severity of the hazard is likely to be more severe, than a flood hitting just one village</w:t>
            </w:r>
            <w:r>
              <w:rPr>
                <w:rFonts w:ascii="Avenir Next" w:hAnsi="Avenir Next"/>
              </w:rPr>
              <w:t>.</w:t>
            </w:r>
          </w:p>
        </w:tc>
      </w:tr>
      <w:tr w:rsidR="005A7C2E" w:rsidRPr="005A7C2E" w14:paraId="0B76DD6A" w14:textId="77777777" w:rsidTr="004E3209">
        <w:trPr>
          <w:trHeight w:val="327"/>
        </w:trPr>
        <w:tc>
          <w:tcPr>
            <w:tcW w:w="714" w:type="dxa"/>
            <w:vMerge/>
          </w:tcPr>
          <w:p w14:paraId="436FCC92" w14:textId="77777777" w:rsidR="005A7C2E" w:rsidRPr="005A7C2E" w:rsidRDefault="005A7C2E" w:rsidP="005A7C2E">
            <w:pPr>
              <w:rPr>
                <w:rFonts w:ascii="Avenir Next" w:hAnsi="Avenir Next"/>
                <w:b/>
                <w:sz w:val="36"/>
                <w:szCs w:val="36"/>
              </w:rPr>
            </w:pPr>
          </w:p>
        </w:tc>
        <w:tc>
          <w:tcPr>
            <w:tcW w:w="10081" w:type="dxa"/>
          </w:tcPr>
          <w:p w14:paraId="07563724" w14:textId="77777777" w:rsidR="005A7C2E" w:rsidRDefault="005A7C2E" w:rsidP="005A7C2E">
            <w:pPr>
              <w:rPr>
                <w:rFonts w:ascii="Avenir Next" w:hAnsi="Avenir Next"/>
              </w:rPr>
            </w:pPr>
          </w:p>
          <w:p w14:paraId="13C1B28D" w14:textId="77777777" w:rsidR="005A7C2E" w:rsidRDefault="005A7C2E" w:rsidP="005A7C2E">
            <w:pPr>
              <w:rPr>
                <w:rFonts w:ascii="Avenir Next" w:hAnsi="Avenir Next"/>
              </w:rPr>
            </w:pPr>
          </w:p>
          <w:p w14:paraId="50DDC2DE" w14:textId="77777777" w:rsidR="005A7C2E" w:rsidRDefault="005A7C2E" w:rsidP="005A7C2E">
            <w:pPr>
              <w:rPr>
                <w:rFonts w:ascii="Avenir Next" w:hAnsi="Avenir Next"/>
              </w:rPr>
            </w:pPr>
          </w:p>
          <w:p w14:paraId="471C0B8C" w14:textId="77777777" w:rsidR="005A7C2E" w:rsidRDefault="005A7C2E" w:rsidP="005A7C2E">
            <w:pPr>
              <w:rPr>
                <w:rFonts w:ascii="Avenir Next" w:hAnsi="Avenir Next"/>
              </w:rPr>
            </w:pPr>
          </w:p>
          <w:p w14:paraId="3C1E33E7" w14:textId="77777777" w:rsidR="005A7C2E" w:rsidRDefault="005A7C2E" w:rsidP="005A7C2E">
            <w:pPr>
              <w:rPr>
                <w:rFonts w:ascii="Avenir Next" w:hAnsi="Avenir Next"/>
              </w:rPr>
            </w:pPr>
          </w:p>
          <w:p w14:paraId="33DB9F31" w14:textId="19F3E17D" w:rsidR="005A7C2E" w:rsidRPr="005A7C2E" w:rsidRDefault="005A7C2E" w:rsidP="005A7C2E">
            <w:pPr>
              <w:rPr>
                <w:rFonts w:ascii="Avenir Next" w:hAnsi="Avenir Next"/>
              </w:rPr>
            </w:pPr>
          </w:p>
        </w:tc>
      </w:tr>
      <w:tr w:rsidR="005A7C2E" w:rsidRPr="005A7C2E" w14:paraId="4F90FB71" w14:textId="77777777" w:rsidTr="004E3209">
        <w:trPr>
          <w:trHeight w:val="58"/>
        </w:trPr>
        <w:tc>
          <w:tcPr>
            <w:tcW w:w="714" w:type="dxa"/>
            <w:vMerge w:val="restart"/>
            <w:shd w:val="clear" w:color="auto" w:fill="FDE9D9" w:themeFill="accent6" w:themeFillTint="33"/>
            <w:textDirection w:val="btLr"/>
          </w:tcPr>
          <w:p w14:paraId="4FBCBC8C" w14:textId="725EA331" w:rsidR="005A7C2E" w:rsidRPr="005A7C2E" w:rsidRDefault="005A7C2E" w:rsidP="005A7C2E">
            <w:pPr>
              <w:ind w:left="113" w:right="113"/>
              <w:jc w:val="right"/>
              <w:rPr>
                <w:rFonts w:ascii="Avenir Next" w:hAnsi="Avenir Next"/>
                <w:b/>
                <w:sz w:val="36"/>
                <w:szCs w:val="36"/>
              </w:rPr>
            </w:pPr>
            <w:r w:rsidRPr="005A7C2E">
              <w:rPr>
                <w:rFonts w:ascii="Avenir Next" w:hAnsi="Avenir Next"/>
                <w:b/>
                <w:sz w:val="36"/>
                <w:szCs w:val="36"/>
              </w:rPr>
              <w:t>Cost</w:t>
            </w:r>
          </w:p>
        </w:tc>
        <w:tc>
          <w:tcPr>
            <w:tcW w:w="10081" w:type="dxa"/>
            <w:shd w:val="clear" w:color="auto" w:fill="FDE9D9" w:themeFill="accent6" w:themeFillTint="33"/>
          </w:tcPr>
          <w:p w14:paraId="726609C0" w14:textId="3307DD2C" w:rsidR="005A7C2E" w:rsidRPr="005A7C2E" w:rsidRDefault="005A7C2E" w:rsidP="005A7C2E">
            <w:pPr>
              <w:rPr>
                <w:rFonts w:ascii="Avenir Next" w:hAnsi="Avenir Next"/>
              </w:rPr>
            </w:pPr>
            <w:r w:rsidRPr="005A7C2E">
              <w:rPr>
                <w:rFonts w:ascii="Avenir Next" w:hAnsi="Avenir Next"/>
                <w:b/>
                <w:bCs/>
              </w:rPr>
              <w:t>Population Density</w:t>
            </w:r>
            <w:r w:rsidRPr="005A7C2E">
              <w:rPr>
                <w:rFonts w:ascii="Avenir Next" w:hAnsi="Avenir Next"/>
              </w:rPr>
              <w:t xml:space="preserve"> – Population density: If a hazard covers an area of high population density, or a big city it is likely to impact a higher number of people than if it occurs in a low densely populated area.</w:t>
            </w:r>
          </w:p>
        </w:tc>
      </w:tr>
      <w:tr w:rsidR="005A7C2E" w:rsidRPr="005A7C2E" w14:paraId="00F83866" w14:textId="77777777" w:rsidTr="004E3209">
        <w:trPr>
          <w:trHeight w:val="315"/>
        </w:trPr>
        <w:tc>
          <w:tcPr>
            <w:tcW w:w="714" w:type="dxa"/>
            <w:vMerge/>
          </w:tcPr>
          <w:p w14:paraId="31B18707" w14:textId="77777777" w:rsidR="005A7C2E" w:rsidRPr="005A7C2E" w:rsidRDefault="005A7C2E" w:rsidP="005A7C2E">
            <w:pPr>
              <w:rPr>
                <w:rFonts w:ascii="Avenir Next" w:hAnsi="Avenir Next"/>
              </w:rPr>
            </w:pPr>
          </w:p>
        </w:tc>
        <w:tc>
          <w:tcPr>
            <w:tcW w:w="10081" w:type="dxa"/>
          </w:tcPr>
          <w:p w14:paraId="14B6DB69" w14:textId="77777777" w:rsidR="005A7C2E" w:rsidRDefault="005A7C2E" w:rsidP="005A7C2E">
            <w:pPr>
              <w:rPr>
                <w:rFonts w:ascii="Avenir Next" w:hAnsi="Avenir Next"/>
              </w:rPr>
            </w:pPr>
          </w:p>
          <w:p w14:paraId="53B87C81" w14:textId="77777777" w:rsidR="005A7C2E" w:rsidRDefault="005A7C2E" w:rsidP="005A7C2E">
            <w:pPr>
              <w:rPr>
                <w:rFonts w:ascii="Avenir Next" w:hAnsi="Avenir Next"/>
              </w:rPr>
            </w:pPr>
          </w:p>
          <w:p w14:paraId="310911F1" w14:textId="77777777" w:rsidR="005A7C2E" w:rsidRDefault="005A7C2E" w:rsidP="005A7C2E">
            <w:pPr>
              <w:rPr>
                <w:rFonts w:ascii="Avenir Next" w:hAnsi="Avenir Next"/>
              </w:rPr>
            </w:pPr>
          </w:p>
          <w:p w14:paraId="1FCAF28E" w14:textId="77777777" w:rsidR="005A7C2E" w:rsidRDefault="005A7C2E" w:rsidP="005A7C2E">
            <w:pPr>
              <w:rPr>
                <w:rFonts w:ascii="Avenir Next" w:hAnsi="Avenir Next"/>
              </w:rPr>
            </w:pPr>
          </w:p>
          <w:p w14:paraId="5EE9F799" w14:textId="77777777" w:rsidR="005A7C2E" w:rsidRDefault="005A7C2E" w:rsidP="005A7C2E">
            <w:pPr>
              <w:rPr>
                <w:rFonts w:ascii="Avenir Next" w:hAnsi="Avenir Next"/>
              </w:rPr>
            </w:pPr>
          </w:p>
          <w:p w14:paraId="52E7A18F" w14:textId="77777777" w:rsidR="005A7C2E" w:rsidRDefault="005A7C2E" w:rsidP="005A7C2E">
            <w:pPr>
              <w:rPr>
                <w:rFonts w:ascii="Avenir Next" w:hAnsi="Avenir Next"/>
              </w:rPr>
            </w:pPr>
          </w:p>
          <w:p w14:paraId="28E8AB16" w14:textId="50CC911B" w:rsidR="005A7C2E" w:rsidRPr="005A7C2E" w:rsidRDefault="005A7C2E" w:rsidP="005A7C2E">
            <w:pPr>
              <w:rPr>
                <w:rFonts w:ascii="Avenir Next" w:hAnsi="Avenir Next"/>
              </w:rPr>
            </w:pPr>
          </w:p>
        </w:tc>
      </w:tr>
      <w:tr w:rsidR="005A7C2E" w:rsidRPr="005A7C2E" w14:paraId="79CC79F5" w14:textId="77777777" w:rsidTr="004E3209">
        <w:trPr>
          <w:trHeight w:val="315"/>
        </w:trPr>
        <w:tc>
          <w:tcPr>
            <w:tcW w:w="714" w:type="dxa"/>
          </w:tcPr>
          <w:p w14:paraId="4CE71372" w14:textId="77777777" w:rsidR="005A7C2E" w:rsidRPr="005A7C2E" w:rsidRDefault="005A7C2E" w:rsidP="00EE6DD4">
            <w:pPr>
              <w:rPr>
                <w:rFonts w:ascii="Avenir Next" w:hAnsi="Avenir Next"/>
                <w:b/>
              </w:rPr>
            </w:pPr>
          </w:p>
        </w:tc>
        <w:tc>
          <w:tcPr>
            <w:tcW w:w="10081" w:type="dxa"/>
          </w:tcPr>
          <w:p w14:paraId="764CC272" w14:textId="0295EE64" w:rsidR="005A7C2E" w:rsidRPr="005A7C2E" w:rsidRDefault="005A7C2E" w:rsidP="00EE6DD4">
            <w:pPr>
              <w:rPr>
                <w:rFonts w:ascii="Avenir Next" w:hAnsi="Avenir Next"/>
                <w:b/>
              </w:rPr>
            </w:pPr>
            <w:r w:rsidRPr="005A7C2E">
              <w:rPr>
                <w:rFonts w:ascii="Avenir Next" w:hAnsi="Avenir Next"/>
                <w:b/>
              </w:rPr>
              <w:t>Effects</w:t>
            </w:r>
          </w:p>
        </w:tc>
      </w:tr>
      <w:tr w:rsidR="005A7C2E" w:rsidRPr="005A7C2E" w14:paraId="052DADB3" w14:textId="77777777" w:rsidTr="004E3209">
        <w:trPr>
          <w:trHeight w:val="1915"/>
        </w:trPr>
        <w:tc>
          <w:tcPr>
            <w:tcW w:w="714" w:type="dxa"/>
          </w:tcPr>
          <w:p w14:paraId="0F891169" w14:textId="77777777" w:rsidR="005A7C2E" w:rsidRPr="005A7C2E" w:rsidRDefault="005A7C2E" w:rsidP="00EE6DD4">
            <w:pPr>
              <w:rPr>
                <w:rFonts w:ascii="Avenir Next" w:hAnsi="Avenir Next"/>
              </w:rPr>
            </w:pPr>
          </w:p>
        </w:tc>
        <w:tc>
          <w:tcPr>
            <w:tcW w:w="10081" w:type="dxa"/>
          </w:tcPr>
          <w:p w14:paraId="346FB799" w14:textId="57E1E132" w:rsidR="005A7C2E" w:rsidRPr="005A7C2E" w:rsidRDefault="005A7C2E" w:rsidP="00EE6DD4">
            <w:pPr>
              <w:rPr>
                <w:rFonts w:ascii="Avenir Next" w:hAnsi="Avenir Next"/>
              </w:rPr>
            </w:pPr>
          </w:p>
          <w:p w14:paraId="3CE32B58" w14:textId="77777777" w:rsidR="005A7C2E" w:rsidRPr="005A7C2E" w:rsidRDefault="005A7C2E" w:rsidP="00EE6DD4">
            <w:pPr>
              <w:rPr>
                <w:rFonts w:ascii="Avenir Next" w:hAnsi="Avenir Next"/>
              </w:rPr>
            </w:pPr>
          </w:p>
          <w:p w14:paraId="7202A2BC" w14:textId="77777777" w:rsidR="005A7C2E" w:rsidRPr="005A7C2E" w:rsidRDefault="005A7C2E" w:rsidP="00EE6DD4">
            <w:pPr>
              <w:rPr>
                <w:rFonts w:ascii="Avenir Next" w:hAnsi="Avenir Next"/>
              </w:rPr>
            </w:pPr>
          </w:p>
          <w:p w14:paraId="6A2A0958" w14:textId="77777777" w:rsidR="005A7C2E" w:rsidRPr="005A7C2E" w:rsidRDefault="005A7C2E" w:rsidP="00EE6DD4">
            <w:pPr>
              <w:rPr>
                <w:rFonts w:ascii="Avenir Next" w:hAnsi="Avenir Next"/>
              </w:rPr>
            </w:pPr>
          </w:p>
          <w:p w14:paraId="69B56955" w14:textId="77777777" w:rsidR="005A7C2E" w:rsidRPr="005A7C2E" w:rsidRDefault="005A7C2E" w:rsidP="00EE6DD4">
            <w:pPr>
              <w:rPr>
                <w:rFonts w:ascii="Avenir Next" w:hAnsi="Avenir Next"/>
              </w:rPr>
            </w:pPr>
          </w:p>
          <w:p w14:paraId="6F96BF16" w14:textId="77777777" w:rsidR="005A7C2E" w:rsidRPr="005A7C2E" w:rsidRDefault="005A7C2E" w:rsidP="00EE6DD4">
            <w:pPr>
              <w:rPr>
                <w:rFonts w:ascii="Avenir Next" w:hAnsi="Avenir Next"/>
              </w:rPr>
            </w:pPr>
          </w:p>
        </w:tc>
      </w:tr>
    </w:tbl>
    <w:p w14:paraId="3804BC2A" w14:textId="77777777" w:rsidR="005941B1" w:rsidRDefault="005941B1" w:rsidP="005941B1"/>
    <w:sectPr w:rsidR="005941B1" w:rsidSect="005A7C2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venir Next">
    <w:panose1 w:val="020B0503020202020204"/>
    <w:charset w:val="00"/>
    <w:family w:val="swiss"/>
    <w:pitch w:val="variable"/>
    <w:sig w:usb0="8000002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1B1"/>
    <w:rsid w:val="004E3209"/>
    <w:rsid w:val="005941B1"/>
    <w:rsid w:val="005A7C2E"/>
    <w:rsid w:val="00691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73B3E"/>
  <w15:docId w15:val="{E1958F0B-856D-EB4D-BA66-C0B603B1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4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A7C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67786">
      <w:bodyDiv w:val="1"/>
      <w:marLeft w:val="0"/>
      <w:marRight w:val="0"/>
      <w:marTop w:val="0"/>
      <w:marBottom w:val="0"/>
      <w:divBdr>
        <w:top w:val="none" w:sz="0" w:space="0" w:color="auto"/>
        <w:left w:val="none" w:sz="0" w:space="0" w:color="auto"/>
        <w:bottom w:val="none" w:sz="0" w:space="0" w:color="auto"/>
        <w:right w:val="none" w:sz="0" w:space="0" w:color="auto"/>
      </w:divBdr>
    </w:div>
    <w:div w:id="549341725">
      <w:bodyDiv w:val="1"/>
      <w:marLeft w:val="0"/>
      <w:marRight w:val="0"/>
      <w:marTop w:val="0"/>
      <w:marBottom w:val="0"/>
      <w:divBdr>
        <w:top w:val="none" w:sz="0" w:space="0" w:color="auto"/>
        <w:left w:val="none" w:sz="0" w:space="0" w:color="auto"/>
        <w:bottom w:val="none" w:sz="0" w:space="0" w:color="auto"/>
        <w:right w:val="none" w:sz="0" w:space="0" w:color="auto"/>
      </w:divBdr>
    </w:div>
    <w:div w:id="910700875">
      <w:bodyDiv w:val="1"/>
      <w:marLeft w:val="0"/>
      <w:marRight w:val="0"/>
      <w:marTop w:val="0"/>
      <w:marBottom w:val="0"/>
      <w:divBdr>
        <w:top w:val="none" w:sz="0" w:space="0" w:color="auto"/>
        <w:left w:val="none" w:sz="0" w:space="0" w:color="auto"/>
        <w:bottom w:val="none" w:sz="0" w:space="0" w:color="auto"/>
        <w:right w:val="none" w:sz="0" w:space="0" w:color="auto"/>
      </w:divBdr>
    </w:div>
    <w:div w:id="1025473999">
      <w:bodyDiv w:val="1"/>
      <w:marLeft w:val="0"/>
      <w:marRight w:val="0"/>
      <w:marTop w:val="0"/>
      <w:marBottom w:val="0"/>
      <w:divBdr>
        <w:top w:val="none" w:sz="0" w:space="0" w:color="auto"/>
        <w:left w:val="none" w:sz="0" w:space="0" w:color="auto"/>
        <w:bottom w:val="none" w:sz="0" w:space="0" w:color="auto"/>
        <w:right w:val="none" w:sz="0" w:space="0" w:color="auto"/>
      </w:divBdr>
    </w:div>
    <w:div w:id="1142428743">
      <w:bodyDiv w:val="1"/>
      <w:marLeft w:val="0"/>
      <w:marRight w:val="0"/>
      <w:marTop w:val="0"/>
      <w:marBottom w:val="0"/>
      <w:divBdr>
        <w:top w:val="none" w:sz="0" w:space="0" w:color="auto"/>
        <w:left w:val="none" w:sz="0" w:space="0" w:color="auto"/>
        <w:bottom w:val="none" w:sz="0" w:space="0" w:color="auto"/>
        <w:right w:val="none" w:sz="0" w:space="0" w:color="auto"/>
      </w:divBdr>
    </w:div>
    <w:div w:id="1245651549">
      <w:bodyDiv w:val="1"/>
      <w:marLeft w:val="0"/>
      <w:marRight w:val="0"/>
      <w:marTop w:val="0"/>
      <w:marBottom w:val="0"/>
      <w:divBdr>
        <w:top w:val="none" w:sz="0" w:space="0" w:color="auto"/>
        <w:left w:val="none" w:sz="0" w:space="0" w:color="auto"/>
        <w:bottom w:val="none" w:sz="0" w:space="0" w:color="auto"/>
        <w:right w:val="none" w:sz="0" w:space="0" w:color="auto"/>
      </w:divBdr>
    </w:div>
    <w:div w:id="1460298489">
      <w:bodyDiv w:val="1"/>
      <w:marLeft w:val="0"/>
      <w:marRight w:val="0"/>
      <w:marTop w:val="0"/>
      <w:marBottom w:val="0"/>
      <w:divBdr>
        <w:top w:val="none" w:sz="0" w:space="0" w:color="auto"/>
        <w:left w:val="none" w:sz="0" w:space="0" w:color="auto"/>
        <w:bottom w:val="none" w:sz="0" w:space="0" w:color="auto"/>
        <w:right w:val="none" w:sz="0" w:space="0" w:color="auto"/>
      </w:divBdr>
    </w:div>
    <w:div w:id="188478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334</Words>
  <Characters>1905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Sozan</dc:creator>
  <cp:lastModifiedBy>Helen Morgan</cp:lastModifiedBy>
  <cp:revision>2</cp:revision>
  <dcterms:created xsi:type="dcterms:W3CDTF">2021-09-06T13:46:00Z</dcterms:created>
  <dcterms:modified xsi:type="dcterms:W3CDTF">2021-09-06T13:46:00Z</dcterms:modified>
</cp:coreProperties>
</file>