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6A8A" w14:textId="6020FA9C" w:rsidR="00665AD2" w:rsidRPr="00600706" w:rsidRDefault="00665AD2" w:rsidP="000E768A">
      <w:pPr>
        <w:widowControl w:val="0"/>
        <w:autoSpaceDE w:val="0"/>
        <w:autoSpaceDN w:val="0"/>
        <w:adjustRightInd w:val="0"/>
        <w:spacing w:after="240"/>
        <w:contextualSpacing/>
        <w:jc w:val="center"/>
        <w:outlineLvl w:val="0"/>
        <w:rPr>
          <w:rFonts w:ascii="Century Gothic" w:hAnsi="Century Gothic" w:cs="Times"/>
          <w:color w:val="000000"/>
          <w:sz w:val="16"/>
        </w:rPr>
      </w:pPr>
      <w:bookmarkStart w:id="0" w:name="_GoBack"/>
      <w:bookmarkEnd w:id="0"/>
      <w:r w:rsidRPr="00600706">
        <w:rPr>
          <w:rFonts w:ascii="Century Gothic" w:hAnsi="Century Gothic" w:cs="Times"/>
          <w:b/>
          <w:bCs/>
          <w:color w:val="000000"/>
          <w:sz w:val="22"/>
          <w:szCs w:val="37"/>
        </w:rPr>
        <w:t xml:space="preserve">Paper 1 SL and HL part b) (optional themes) and paper 2 SL and HL part b </w:t>
      </w:r>
      <w:r w:rsidR="00200EFC" w:rsidRPr="00600706">
        <w:rPr>
          <w:rFonts w:ascii="Century Gothic" w:hAnsi="Century Gothic" w:cs="Arial"/>
          <w:b/>
          <w:bCs/>
          <w:color w:val="6D6D6D"/>
          <w:sz w:val="16"/>
        </w:rPr>
        <w:t>Maximum mark 10 (2 marks per band)</w:t>
      </w:r>
    </w:p>
    <w:tbl>
      <w:tblPr>
        <w:tblW w:w="5173" w:type="pct"/>
        <w:tblInd w:w="-118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9"/>
        <w:gridCol w:w="5912"/>
        <w:gridCol w:w="4678"/>
        <w:gridCol w:w="5247"/>
        <w:gridCol w:w="64"/>
      </w:tblGrid>
      <w:tr w:rsidR="008E7F96" w:rsidRPr="00600706" w14:paraId="718BFEDC" w14:textId="77777777" w:rsidTr="00600706">
        <w:trPr>
          <w:gridBefore w:val="1"/>
          <w:wBefore w:w="3" w:type="pct"/>
          <w:trHeight w:val="477"/>
        </w:trPr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9536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AO1: Knowledge and understanding of specified content </w:t>
            </w:r>
          </w:p>
          <w:p w14:paraId="35D91A40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AO2: Application and analysis of knowledge and understanding 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0D6CD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AO3: Synthesis and evaluation </w:t>
            </w:r>
          </w:p>
        </w:tc>
        <w:tc>
          <w:tcPr>
            <w:tcW w:w="16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D503D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AO4: Selection, use and application of a variety of appropriate skills and techniques </w:t>
            </w:r>
          </w:p>
        </w:tc>
      </w:tr>
      <w:tr w:rsidR="008E7F96" w:rsidRPr="00600706" w14:paraId="68A238A4" w14:textId="77777777" w:rsidTr="00600706">
        <w:trPr>
          <w:gridBefore w:val="1"/>
          <w:wBefore w:w="3" w:type="pct"/>
          <w:trHeight w:val="162"/>
        </w:trPr>
        <w:tc>
          <w:tcPr>
            <w:tcW w:w="4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1FCF6" w14:textId="490A271E" w:rsidR="00096FFD" w:rsidRPr="00600706" w:rsidRDefault="0060070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0</w:t>
            </w:r>
            <w:r w:rsidR="00096FFD"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The work does not reach a standard described by the descriptors below. </w:t>
            </w:r>
          </w:p>
        </w:tc>
      </w:tr>
      <w:tr w:rsidR="008E7F96" w:rsidRPr="00600706" w14:paraId="3580C70C" w14:textId="77777777" w:rsidTr="00600706">
        <w:trPr>
          <w:gridBefore w:val="1"/>
          <w:wBefore w:w="3" w:type="pct"/>
          <w:trHeight w:val="72"/>
        </w:trPr>
        <w:tc>
          <w:tcPr>
            <w:tcW w:w="4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C1FE8" w14:textId="048B1B04" w:rsidR="00096FFD" w:rsidRPr="00600706" w:rsidRDefault="00096FFD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1–2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too brief, lists unconnected information, is not focused on the question and lacks structure. </w:t>
            </w:r>
          </w:p>
        </w:tc>
      </w:tr>
      <w:tr w:rsidR="008E7F96" w:rsidRPr="00600706" w14:paraId="3889365B" w14:textId="77777777" w:rsidTr="00600706">
        <w:trPr>
          <w:gridBefore w:val="1"/>
          <w:wBefore w:w="3" w:type="pct"/>
          <w:trHeight w:val="1095"/>
        </w:trPr>
        <w:tc>
          <w:tcPr>
            <w:tcW w:w="18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23F44" w14:textId="31955227" w:rsidR="00096FFD" w:rsidRPr="00600706" w:rsidRDefault="00096FFD" w:rsidP="006007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6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is very brief or descriptive,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listing 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a series of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unconnected comments or largely irrelevant information. The knowledge and understanding presented is very general with large gaps or errors in interpretation. Examples or case studies are not included or only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</w:p>
          <w:p w14:paraId="1661D2A5" w14:textId="77777777" w:rsidR="00096FFD" w:rsidRPr="00600706" w:rsidRDefault="00096FFD" w:rsidP="004F3F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There is no evidence of analysis.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1DACD99" w14:textId="77777777" w:rsidR="00096FFD" w:rsidRPr="00600706" w:rsidRDefault="00096FFD" w:rsidP="004F3F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Terminology is missing, not defined, irrelevant or used incorrectly.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2F44" w14:textId="77777777" w:rsidR="00096FFD" w:rsidRPr="00600706" w:rsidRDefault="00096FFD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Times New Roman"/>
                <w:color w:val="000000"/>
                <w:sz w:val="20"/>
                <w:szCs w:val="29"/>
              </w:rPr>
              <w:t xml:space="preserve">•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No evidence of evaluation or conclusion is expected at this level. </w:t>
            </w:r>
          </w:p>
        </w:tc>
        <w:tc>
          <w:tcPr>
            <w:tcW w:w="16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7FE85" w14:textId="77777777" w:rsidR="00096FFD" w:rsidRPr="00600706" w:rsidRDefault="00096FFD" w:rsidP="00600706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autoSpaceDE w:val="0"/>
              <w:autoSpaceDN w:val="0"/>
              <w:adjustRightInd w:val="0"/>
              <w:spacing w:after="293"/>
              <w:ind w:left="199" w:hanging="19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Information presented is not grouped logically (in paragraphs or sections).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02C24B7" w14:textId="246D12AD" w:rsidR="00096FFD" w:rsidRPr="00600706" w:rsidRDefault="00096FFD" w:rsidP="00600706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autoSpaceDE w:val="0"/>
              <w:autoSpaceDN w:val="0"/>
              <w:adjustRightInd w:val="0"/>
              <w:spacing w:after="293"/>
              <w:ind w:left="199" w:hanging="19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are not included, are irrelevant or difficult to decipher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1EA59046" w14:textId="77777777" w:rsidTr="00600706">
        <w:trPr>
          <w:gridAfter w:val="1"/>
          <w:wAfter w:w="20" w:type="pct"/>
          <w:trHeight w:val="112"/>
        </w:trPr>
        <w:tc>
          <w:tcPr>
            <w:tcW w:w="49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57CE7" w14:textId="14AFFBFD" w:rsidR="008E7F96" w:rsidRPr="00600706" w:rsidRDefault="00600706" w:rsidP="00600706">
            <w:pPr>
              <w:widowControl w:val="0"/>
              <w:autoSpaceDE w:val="0"/>
              <w:autoSpaceDN w:val="0"/>
              <w:adjustRightInd w:val="0"/>
              <w:spacing w:after="293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3–4 </w:t>
            </w:r>
            <w:r w:rsidR="008E7F96"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too general, lacks detail, is not focused on the question and is largely unstructured. </w:t>
            </w:r>
          </w:p>
        </w:tc>
      </w:tr>
      <w:tr w:rsidR="008E7F96" w:rsidRPr="00600706" w14:paraId="2DD19129" w14:textId="77777777" w:rsidTr="00600706">
        <w:trPr>
          <w:gridAfter w:val="1"/>
          <w:wAfter w:w="20" w:type="pct"/>
          <w:trHeight w:val="1428"/>
        </w:trPr>
        <w:tc>
          <w:tcPr>
            <w:tcW w:w="186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3B377" w14:textId="77777777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is very general. The knowledge and understanding presented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outlines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examples, statistics, and facts that are both relevant and irrelevant. Links to the question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2EE8E533" w14:textId="3964EB4C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presented is not relevant to the question. </w:t>
            </w:r>
          </w:p>
          <w:p w14:paraId="37ADB0DE" w14:textId="77777777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Basic terminology is defined and used but with errors in understanding or used inconsistently.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6F83C" w14:textId="77777777" w:rsidR="008E7F96" w:rsidRPr="00600706" w:rsidRDefault="008E7F96" w:rsidP="006007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293"/>
              <w:ind w:left="175" w:hanging="175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irrelevant.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24DE97F" w14:textId="42EB1705" w:rsidR="008E7F96" w:rsidRPr="00600706" w:rsidRDefault="008E7F96" w:rsidP="006007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293"/>
              <w:ind w:left="175" w:hanging="175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There is no evidence of critical evaluation of evidence (examples, statistics and case studies).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35C7E" w14:textId="77777777" w:rsidR="008E7F96" w:rsidRPr="00600706" w:rsidRDefault="008E7F96" w:rsidP="00600706">
            <w:pPr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Most of the information is not grouped logically (in paragraphs or sections).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66001FD1" w14:textId="77777777" w:rsidR="008E7F96" w:rsidRPr="00600706" w:rsidRDefault="008E7F96" w:rsidP="00600706">
            <w:pPr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lack detail, are incorrectly or only partially interpreted without explicit connections to the question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75F11530" w14:textId="77777777" w:rsidTr="00600706">
        <w:trPr>
          <w:gridAfter w:val="1"/>
          <w:wAfter w:w="20" w:type="pct"/>
          <w:trHeight w:val="90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C143D" w14:textId="3DF2F30E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5-6 The response partially addresses the question, but with a narrow argument, an unsubstantiated conclusion, and limited evaluation. </w:t>
            </w:r>
          </w:p>
        </w:tc>
      </w:tr>
      <w:tr w:rsidR="008E7F96" w:rsidRPr="00600706" w14:paraId="0C776AFB" w14:textId="77777777" w:rsidTr="00600706">
        <w:trPr>
          <w:gridAfter w:val="1"/>
          <w:wAfter w:w="20" w:type="pct"/>
          <w:trHeight w:val="502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EA048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supporting evidence (information, examples, case studies et cetera),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outlining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appropriate link(s) to the question.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867CB31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partially addresses the question or elaborates one point repeatedly.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60EAD2E4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terminology is defined and used with only minor errors in understanding or is used inconsistently.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96898" w14:textId="77777777" w:rsidR="008E7F96" w:rsidRPr="00600706" w:rsidRDefault="008E7F96" w:rsidP="00600706">
            <w:pPr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conclusions are general, not aligned with the evidence presented and/or based on an incorrect interpretation of the evidence.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D1E5B0C" w14:textId="56C3BE38" w:rsidR="008E7F96" w:rsidRPr="00600706" w:rsidRDefault="008E7F96" w:rsidP="00600706">
            <w:pPr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Other perspectives on evidence (examples, statistics and case studies) and/or strengths and weaknesses of evidence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7AE4E" w14:textId="77777777" w:rsidR="008E7F96" w:rsidRPr="00600706" w:rsidRDefault="008E7F96" w:rsidP="00600706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Logically related information is grouped together (in sections or paragraphs) but not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606C319" w14:textId="7CF2DC62" w:rsidR="008E7F96" w:rsidRPr="00600706" w:rsidRDefault="008E7F96" w:rsidP="00600706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do not follow conventions, and include relevant and irrelevant interpretations in the text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1343734E" w14:textId="77777777" w:rsidTr="00600706">
        <w:trPr>
          <w:gridBefore w:val="1"/>
          <w:gridAfter w:val="1"/>
          <w:wBefore w:w="3" w:type="pct"/>
          <w:wAfter w:w="20" w:type="pct"/>
          <w:trHeight w:val="123"/>
        </w:trPr>
        <w:tc>
          <w:tcPr>
            <w:tcW w:w="49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BD83D" w14:textId="172D1407" w:rsidR="008E7F96" w:rsidRPr="00600706" w:rsidRDefault="008E7F96" w:rsidP="004F3F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7–8 -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The response addresses the whole question, the analysis is evaluated and the conclusion is relevant but lacks balance.</w:t>
            </w:r>
          </w:p>
        </w:tc>
      </w:tr>
      <w:tr w:rsidR="008E7F96" w:rsidRPr="00600706" w14:paraId="3273F89A" w14:textId="77777777" w:rsidTr="00600706">
        <w:trPr>
          <w:gridBefore w:val="1"/>
          <w:gridAfter w:val="1"/>
          <w:wBefore w:w="3" w:type="pct"/>
          <w:wAfter w:w="20" w:type="pct"/>
          <w:trHeight w:val="1656"/>
        </w:trPr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BFFE1" w14:textId="0FDB6D82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supporting evidence correctly (information, examples and case studies) that covers all the main points of the question,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appropriate links to the question. </w:t>
            </w:r>
          </w:p>
          <w:p w14:paraId="29D43B53" w14:textId="77777777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is clear and relevant to the question but one-sided or unbalanced.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DF497CC" w14:textId="77777777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 terminology is defined and used correctly but not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0533D" w14:textId="77777777" w:rsidR="008E7F96" w:rsidRPr="00600706" w:rsidRDefault="008E7F96" w:rsidP="0060070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93"/>
              <w:ind w:left="316" w:hanging="316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relevant to the question, aligned with the evidence but unbalanced.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5F3614BD" w14:textId="61D8A9EE" w:rsidR="008E7F96" w:rsidRPr="00600706" w:rsidRDefault="008E7F96" w:rsidP="0060070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93"/>
              <w:ind w:left="316" w:hanging="316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Other perspectives on evidence (examples, statistics and case studies) and/or strengths and weaknesses of evidence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67EBC" w14:textId="77777777" w:rsidR="008E7F96" w:rsidRPr="00600706" w:rsidRDefault="008E7F96" w:rsidP="006007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Logically related information is grouped together (in sections)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31F8D79A" w14:textId="2BFB1290" w:rsidR="008E7F96" w:rsidRPr="00600706" w:rsidRDefault="008E7F96" w:rsidP="006007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contribute to/support the argument or analysis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3E82A218" w14:textId="77777777" w:rsidTr="00600706">
        <w:trPr>
          <w:gridBefore w:val="1"/>
          <w:gridAfter w:val="1"/>
          <w:wBefore w:w="3" w:type="pct"/>
          <w:wAfter w:w="20" w:type="pct"/>
          <w:trHeight w:val="520"/>
        </w:trPr>
        <w:tc>
          <w:tcPr>
            <w:tcW w:w="497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5C3BA" w14:textId="30B6C2EF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9–10 -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in-depth and question-specific (topic and command term); analysis and conclusion are justified through well-developed evaluation of evidence and perspectives. </w:t>
            </w:r>
          </w:p>
        </w:tc>
      </w:tr>
      <w:tr w:rsidR="008E7F96" w:rsidRPr="00600706" w14:paraId="5FF51E39" w14:textId="77777777" w:rsidTr="00600706">
        <w:tblPrEx>
          <w:tblBorders>
            <w:top w:val="nil"/>
          </w:tblBorders>
        </w:tblPrEx>
        <w:trPr>
          <w:gridBefore w:val="1"/>
          <w:gridAfter w:val="1"/>
          <w:wBefore w:w="3" w:type="pct"/>
          <w:wAfter w:w="20" w:type="pct"/>
        </w:trPr>
        <w:tc>
          <w:tcPr>
            <w:tcW w:w="18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61283" w14:textId="19551659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correct and relevant examples, statistics and details that are integrated in the response,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appropriate link to the question.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C710582" w14:textId="739B6D46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>The argument or a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nalysis is balanced, presenting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evidence that is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discussed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complexity, exceptions and comparisons. </w:t>
            </w:r>
          </w:p>
          <w:p w14:paraId="66ECFE80" w14:textId="77777777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 and relevant terminology is used correctly throughout the response.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C7022" w14:textId="77777777" w:rsidR="008E7F96" w:rsidRPr="00600706" w:rsidRDefault="008E7F96" w:rsidP="006007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relevant to the question, balanced and aligned with the evidence.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59696F5" w14:textId="77777777" w:rsidR="008E7F96" w:rsidRPr="00600706" w:rsidRDefault="008E7F96" w:rsidP="006007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Evaluation includes a systematic and detailed presentation of ideas, cause and effect relations, other perspectives; strengths and weaknesses of evidence are discussed; (if appropriate) includes justification of the argument and conclusion.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9D6DE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Times"/>
                <w:color w:val="000000"/>
                <w:sz w:val="16"/>
              </w:rPr>
              <w:t xml:space="preserve"> </w:t>
            </w:r>
          </w:p>
          <w:p w14:paraId="492506BF" w14:textId="1988A337" w:rsidR="008E7F96" w:rsidRPr="00600706" w:rsidRDefault="008E7F96" w:rsidP="006007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93"/>
              <w:ind w:left="311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>Response is logically structured with discussion (and if appropriate to the question, a conclusion) foc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using on the argument or points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made, making it easy to follow.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2C80B038" w14:textId="4763CF19" w:rsidR="008E7F96" w:rsidRPr="00600706" w:rsidRDefault="008E7F96" w:rsidP="006007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93"/>
              <w:ind w:left="311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are annotated following conventions and their relevance is explained and support the argument or analysis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</w:tbl>
    <w:p w14:paraId="59954E4B" w14:textId="77777777" w:rsidR="001E59E1" w:rsidRPr="00600706" w:rsidRDefault="001E59E1" w:rsidP="006B276E">
      <w:pPr>
        <w:contextualSpacing/>
        <w:rPr>
          <w:rFonts w:ascii="Century Gothic" w:hAnsi="Century Gothic"/>
          <w:sz w:val="16"/>
        </w:rPr>
      </w:pPr>
    </w:p>
    <w:sectPr w:rsidR="001E59E1" w:rsidRPr="00600706" w:rsidSect="001E7E58">
      <w:pgSz w:w="16838" w:h="11906" w:orient="landscape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2"/>
    <w:rsid w:val="00096FFD"/>
    <w:rsid w:val="000E768A"/>
    <w:rsid w:val="001E59E1"/>
    <w:rsid w:val="001E7E58"/>
    <w:rsid w:val="00200EFC"/>
    <w:rsid w:val="003156C5"/>
    <w:rsid w:val="004F3F1F"/>
    <w:rsid w:val="00600706"/>
    <w:rsid w:val="00665AD2"/>
    <w:rsid w:val="006A75B2"/>
    <w:rsid w:val="006B276E"/>
    <w:rsid w:val="007F3E7A"/>
    <w:rsid w:val="008E7F96"/>
    <w:rsid w:val="00B05F51"/>
    <w:rsid w:val="00B32432"/>
    <w:rsid w:val="00D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E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BISHCMC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Yardley</dc:creator>
  <cp:keywords/>
  <dc:description/>
  <cp:lastModifiedBy>Anna Bennett</cp:lastModifiedBy>
  <cp:revision>2</cp:revision>
  <cp:lastPrinted>2017-09-08T03:38:00Z</cp:lastPrinted>
  <dcterms:created xsi:type="dcterms:W3CDTF">2017-09-19T10:24:00Z</dcterms:created>
  <dcterms:modified xsi:type="dcterms:W3CDTF">2017-09-19T10:24:00Z</dcterms:modified>
</cp:coreProperties>
</file>