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B68C" w14:textId="223D76B6" w:rsidR="00CB0722" w:rsidRPr="00412071" w:rsidRDefault="00CB0722" w:rsidP="00CB0722">
      <w:pPr>
        <w:rPr>
          <w:sz w:val="32"/>
          <w:szCs w:val="32"/>
        </w:rPr>
      </w:pPr>
      <w:r>
        <w:rPr>
          <w:b/>
          <w:sz w:val="32"/>
          <w:szCs w:val="32"/>
          <w:u w:val="single"/>
        </w:rPr>
        <w:t>Subject / Year Group:</w:t>
      </w:r>
      <w:r w:rsidR="00412071">
        <w:rPr>
          <w:b/>
          <w:sz w:val="32"/>
          <w:szCs w:val="32"/>
        </w:rPr>
        <w:tab/>
        <w:t xml:space="preserve"> </w:t>
      </w:r>
      <w:r w:rsidR="001970E8">
        <w:rPr>
          <w:sz w:val="32"/>
          <w:szCs w:val="32"/>
        </w:rPr>
        <w:t>Year 12</w:t>
      </w:r>
      <w:r w:rsidR="00ED515A">
        <w:rPr>
          <w:sz w:val="32"/>
          <w:szCs w:val="32"/>
        </w:rPr>
        <w:t xml:space="preserve"> </w:t>
      </w:r>
      <w:r w:rsidR="004C089C">
        <w:rPr>
          <w:sz w:val="32"/>
          <w:szCs w:val="32"/>
        </w:rPr>
        <w:t>Economics</w:t>
      </w:r>
      <w:r w:rsidR="00682205">
        <w:rPr>
          <w:b/>
          <w:sz w:val="32"/>
          <w:szCs w:val="32"/>
        </w:rPr>
        <w:tab/>
      </w:r>
      <w:r w:rsidR="00682205">
        <w:rPr>
          <w:b/>
          <w:sz w:val="32"/>
          <w:szCs w:val="32"/>
        </w:rPr>
        <w:tab/>
      </w:r>
      <w:r>
        <w:rPr>
          <w:b/>
          <w:sz w:val="32"/>
          <w:szCs w:val="32"/>
          <w:u w:val="single"/>
        </w:rPr>
        <w:t>Unit Number:</w:t>
      </w:r>
      <w:r>
        <w:rPr>
          <w:b/>
          <w:sz w:val="32"/>
          <w:szCs w:val="32"/>
        </w:rPr>
        <w:t xml:space="preserve"> </w:t>
      </w:r>
      <w:r w:rsidR="004C089C">
        <w:rPr>
          <w:sz w:val="32"/>
          <w:szCs w:val="32"/>
        </w:rPr>
        <w:t>5</w:t>
      </w:r>
    </w:p>
    <w:p w14:paraId="243BEA02" w14:textId="27ECD810" w:rsidR="00CB0722" w:rsidRPr="00DE7866" w:rsidRDefault="00CB0722" w:rsidP="00CB0722">
      <w:pPr>
        <w:rPr>
          <w:sz w:val="32"/>
          <w:szCs w:val="32"/>
        </w:rPr>
      </w:pPr>
      <w:r>
        <w:rPr>
          <w:b/>
          <w:sz w:val="32"/>
          <w:szCs w:val="32"/>
          <w:u w:val="single"/>
        </w:rPr>
        <w:t>Title:</w:t>
      </w:r>
      <w:r>
        <w:rPr>
          <w:b/>
          <w:sz w:val="32"/>
          <w:szCs w:val="32"/>
        </w:rPr>
        <w:tab/>
      </w:r>
      <w:r w:rsidR="001970E8">
        <w:rPr>
          <w:sz w:val="32"/>
          <w:szCs w:val="32"/>
        </w:rPr>
        <w:t xml:space="preserve"> Macroe</w:t>
      </w:r>
      <w:r w:rsidR="004C089C">
        <w:rPr>
          <w:sz w:val="32"/>
          <w:szCs w:val="32"/>
        </w:rPr>
        <w:t>conomics</w:t>
      </w:r>
      <w:r w:rsidR="00682205">
        <w:rPr>
          <w:sz w:val="32"/>
          <w:szCs w:val="32"/>
        </w:rPr>
        <w:tab/>
      </w:r>
      <w:r w:rsidR="00412071">
        <w:rPr>
          <w:b/>
          <w:sz w:val="32"/>
          <w:szCs w:val="32"/>
        </w:rPr>
        <w:tab/>
      </w:r>
      <w:r w:rsidR="00ED515A">
        <w:rPr>
          <w:b/>
          <w:sz w:val="32"/>
          <w:szCs w:val="32"/>
        </w:rPr>
        <w:t xml:space="preserve">                    </w:t>
      </w:r>
      <w:r w:rsidRPr="002A6A5B">
        <w:rPr>
          <w:b/>
          <w:sz w:val="32"/>
          <w:szCs w:val="32"/>
          <w:u w:val="single"/>
        </w:rPr>
        <w:t>Length of Unit:</w:t>
      </w:r>
      <w:r w:rsidR="00682205">
        <w:rPr>
          <w:sz w:val="32"/>
          <w:szCs w:val="32"/>
        </w:rPr>
        <w:t xml:space="preserve"> </w:t>
      </w:r>
      <w:r w:rsidR="001970E8">
        <w:rPr>
          <w:sz w:val="32"/>
          <w:szCs w:val="32"/>
        </w:rPr>
        <w:t>8</w:t>
      </w:r>
      <w:r w:rsidR="00ED515A">
        <w:rPr>
          <w:sz w:val="32"/>
          <w:szCs w:val="32"/>
        </w:rPr>
        <w:t xml:space="preserve"> weeks </w:t>
      </w:r>
    </w:p>
    <w:tbl>
      <w:tblPr>
        <w:tblStyle w:val="TableGrid"/>
        <w:tblW w:w="0" w:type="auto"/>
        <w:tblLook w:val="04A0" w:firstRow="1" w:lastRow="0" w:firstColumn="1" w:lastColumn="0" w:noHBand="0" w:noVBand="1"/>
      </w:tblPr>
      <w:tblGrid>
        <w:gridCol w:w="2965"/>
        <w:gridCol w:w="7825"/>
      </w:tblGrid>
      <w:tr w:rsidR="00CB0722" w14:paraId="25B9471A" w14:textId="77777777" w:rsidTr="004C089C">
        <w:tc>
          <w:tcPr>
            <w:tcW w:w="10790" w:type="dxa"/>
            <w:gridSpan w:val="2"/>
            <w:tcBorders>
              <w:bottom w:val="single" w:sz="4" w:space="0" w:color="auto"/>
            </w:tcBorders>
            <w:shd w:val="clear" w:color="auto" w:fill="30CDD7"/>
          </w:tcPr>
          <w:p w14:paraId="298D1DB4" w14:textId="77777777" w:rsidR="00CB0722" w:rsidRPr="00D97636" w:rsidRDefault="00CB0722" w:rsidP="00600D73">
            <w:pPr>
              <w:jc w:val="center"/>
              <w:rPr>
                <w:b/>
                <w:sz w:val="32"/>
                <w:szCs w:val="32"/>
              </w:rPr>
            </w:pPr>
            <w:r>
              <w:rPr>
                <w:b/>
                <w:sz w:val="32"/>
                <w:szCs w:val="32"/>
              </w:rPr>
              <w:t>Summary of Unit</w:t>
            </w:r>
          </w:p>
        </w:tc>
      </w:tr>
      <w:tr w:rsidR="004C089C" w14:paraId="4A710459" w14:textId="77777777" w:rsidTr="004C089C">
        <w:tc>
          <w:tcPr>
            <w:tcW w:w="10790" w:type="dxa"/>
            <w:gridSpan w:val="2"/>
            <w:tcBorders>
              <w:bottom w:val="single" w:sz="4" w:space="0" w:color="auto"/>
            </w:tcBorders>
            <w:shd w:val="clear" w:color="auto" w:fill="auto"/>
          </w:tcPr>
          <w:p w14:paraId="78F488A4" w14:textId="7012084E" w:rsidR="001970E8" w:rsidRPr="001970E8" w:rsidRDefault="001970E8" w:rsidP="001970E8">
            <w:pPr>
              <w:rPr>
                <w:rFonts w:ascii="Source Sans Pro" w:hAnsi="Source Sans Pro"/>
                <w:sz w:val="24"/>
                <w:szCs w:val="24"/>
              </w:rPr>
            </w:pPr>
            <w:proofErr w:type="spellStart"/>
            <w:r>
              <w:rPr>
                <w:rFonts w:ascii="StoneSerif" w:hAnsi="StoneSerif"/>
                <w:sz w:val="20"/>
                <w:szCs w:val="20"/>
              </w:rPr>
              <w:t>Macro economics</w:t>
            </w:r>
            <w:proofErr w:type="spellEnd"/>
            <w:r>
              <w:rPr>
                <w:rFonts w:ascii="StoneSerif" w:hAnsi="StoneSerif"/>
                <w:sz w:val="20"/>
                <w:szCs w:val="20"/>
              </w:rPr>
              <w:t xml:space="preserve"> </w:t>
            </w:r>
            <w:r>
              <w:rPr>
                <w:rFonts w:ascii="StoneSerif" w:hAnsi="StoneSerif"/>
                <w:sz w:val="20"/>
                <w:szCs w:val="20"/>
              </w:rPr>
              <w:t>studies the economy as a whole. In contrast to microeconomics, where we examine specific product</w:t>
            </w:r>
            <w:r>
              <w:rPr>
                <w:rFonts w:ascii="StoneSerif" w:hAnsi="StoneSerif"/>
                <w:sz w:val="20"/>
                <w:szCs w:val="20"/>
              </w:rPr>
              <w:br/>
              <w:t xml:space="preserve">and resource markets and the </w:t>
            </w:r>
            <w:proofErr w:type="spellStart"/>
            <w:r>
              <w:rPr>
                <w:rFonts w:ascii="StoneSerif" w:hAnsi="StoneSerif"/>
                <w:sz w:val="20"/>
                <w:szCs w:val="20"/>
              </w:rPr>
              <w:t>behaviour</w:t>
            </w:r>
            <w:proofErr w:type="spellEnd"/>
            <w:r>
              <w:rPr>
                <w:rFonts w:ascii="StoneSerif" w:hAnsi="StoneSerif"/>
                <w:sz w:val="20"/>
                <w:szCs w:val="20"/>
              </w:rPr>
              <w:t xml:space="preserve"> of individual decision-making units such as consumers, firms and resource owners, we now focus on the larger picture of the economy, composed of collections of many consumers, firms, resource owners and markets. Instead of individual product prices, </w:t>
            </w:r>
          </w:p>
          <w:p w14:paraId="582AEE4B" w14:textId="77777777" w:rsidR="001970E8" w:rsidRDefault="001970E8" w:rsidP="001970E8">
            <w:pPr>
              <w:pStyle w:val="NormalWeb"/>
              <w:shd w:val="clear" w:color="auto" w:fill="FFFFFF"/>
            </w:pPr>
            <w:r>
              <w:rPr>
                <w:rFonts w:ascii="StoneSerif" w:hAnsi="StoneSerif"/>
                <w:sz w:val="20"/>
                <w:szCs w:val="20"/>
              </w:rPr>
              <w:t xml:space="preserve">we study the general price level of the economy; instead of demand for individual products, we examine total demand for goods and services; and instead of individual firm and industry supply, we examine the total output produced in the economy. Further, we study total employment, total investment, total exports and imports and more such totals or wholes, which in macroeconomics are called </w:t>
            </w:r>
            <w:r>
              <w:rPr>
                <w:rFonts w:ascii="StoneSerif" w:hAnsi="StoneSerif"/>
                <w:i/>
                <w:iCs/>
                <w:sz w:val="20"/>
                <w:szCs w:val="20"/>
              </w:rPr>
              <w:t>aggregates</w:t>
            </w:r>
            <w:r>
              <w:rPr>
                <w:rFonts w:ascii="StoneSerif" w:hAnsi="StoneSerif"/>
                <w:sz w:val="20"/>
                <w:szCs w:val="20"/>
              </w:rPr>
              <w:t xml:space="preserve">. </w:t>
            </w:r>
          </w:p>
          <w:p w14:paraId="020490B0" w14:textId="77777777" w:rsidR="001970E8" w:rsidRDefault="001970E8" w:rsidP="001970E8">
            <w:pPr>
              <w:pStyle w:val="NormalWeb"/>
              <w:shd w:val="clear" w:color="auto" w:fill="FFFFFF"/>
            </w:pPr>
            <w:r>
              <w:rPr>
                <w:rFonts w:ascii="StoneSerif" w:hAnsi="StoneSerif"/>
                <w:sz w:val="20"/>
                <w:szCs w:val="20"/>
              </w:rPr>
              <w:t xml:space="preserve">The study of macroeconomics arises because there are some important economic objectives that cannot be understood and </w:t>
            </w:r>
            <w:proofErr w:type="spellStart"/>
            <w:r>
              <w:rPr>
                <w:rFonts w:ascii="StoneSerif" w:hAnsi="StoneSerif"/>
                <w:sz w:val="20"/>
                <w:szCs w:val="20"/>
              </w:rPr>
              <w:t>analysed</w:t>
            </w:r>
            <w:proofErr w:type="spellEnd"/>
            <w:r>
              <w:rPr>
                <w:rFonts w:ascii="StoneSerif" w:hAnsi="StoneSerif"/>
                <w:sz w:val="20"/>
                <w:szCs w:val="20"/>
              </w:rPr>
              <w:t xml:space="preserve"> at the level of microeconomics. The most important </w:t>
            </w:r>
            <w:r>
              <w:rPr>
                <w:rFonts w:ascii="StoneSerif" w:hAnsi="StoneSerif"/>
                <w:b/>
                <w:bCs/>
                <w:sz w:val="20"/>
                <w:szCs w:val="20"/>
              </w:rPr>
              <w:t xml:space="preserve">macroeconomic objectives </w:t>
            </w:r>
            <w:r>
              <w:rPr>
                <w:rFonts w:ascii="StoneSerif" w:hAnsi="StoneSerif"/>
                <w:sz w:val="20"/>
                <w:szCs w:val="20"/>
              </w:rPr>
              <w:t xml:space="preserve">involve how to achieve: </w:t>
            </w:r>
          </w:p>
          <w:p w14:paraId="042F5076" w14:textId="77777777" w:rsidR="001970E8" w:rsidRDefault="001970E8" w:rsidP="001970E8">
            <w:pPr>
              <w:pStyle w:val="NormalWeb"/>
              <w:numPr>
                <w:ilvl w:val="0"/>
                <w:numId w:val="3"/>
              </w:numPr>
              <w:shd w:val="clear" w:color="auto" w:fill="FFFFFF"/>
              <w:rPr>
                <w:rFonts w:ascii="StoneSerif" w:hAnsi="StoneSerif"/>
                <w:sz w:val="20"/>
                <w:szCs w:val="20"/>
              </w:rPr>
            </w:pPr>
            <w:r>
              <w:rPr>
                <w:rFonts w:ascii="StoneSerif" w:hAnsi="StoneSerif"/>
                <w:sz w:val="20"/>
                <w:szCs w:val="20"/>
              </w:rPr>
              <w:t xml:space="preserve">full employment </w:t>
            </w:r>
          </w:p>
          <w:p w14:paraId="262E6BE7" w14:textId="77777777" w:rsidR="001970E8" w:rsidRDefault="001970E8" w:rsidP="001970E8">
            <w:pPr>
              <w:pStyle w:val="NormalWeb"/>
              <w:numPr>
                <w:ilvl w:val="0"/>
                <w:numId w:val="3"/>
              </w:numPr>
              <w:shd w:val="clear" w:color="auto" w:fill="FFFFFF"/>
              <w:rPr>
                <w:rFonts w:ascii="StoneSerif" w:hAnsi="StoneSerif"/>
                <w:sz w:val="20"/>
                <w:szCs w:val="20"/>
              </w:rPr>
            </w:pPr>
            <w:r>
              <w:rPr>
                <w:rFonts w:ascii="StoneSerif" w:hAnsi="StoneSerif"/>
                <w:sz w:val="20"/>
                <w:szCs w:val="20"/>
              </w:rPr>
              <w:t xml:space="preserve">a stable or gently rising price level </w:t>
            </w:r>
          </w:p>
          <w:p w14:paraId="5DEE4DC1" w14:textId="77777777" w:rsidR="001970E8" w:rsidRDefault="001970E8" w:rsidP="001970E8">
            <w:pPr>
              <w:pStyle w:val="NormalWeb"/>
              <w:numPr>
                <w:ilvl w:val="0"/>
                <w:numId w:val="3"/>
              </w:numPr>
              <w:shd w:val="clear" w:color="auto" w:fill="FFFFFF"/>
              <w:rPr>
                <w:rFonts w:ascii="StoneSerif" w:hAnsi="StoneSerif"/>
                <w:sz w:val="20"/>
                <w:szCs w:val="20"/>
              </w:rPr>
            </w:pPr>
            <w:r>
              <w:rPr>
                <w:rFonts w:ascii="StoneSerif" w:hAnsi="StoneSerif"/>
                <w:sz w:val="20"/>
                <w:szCs w:val="20"/>
              </w:rPr>
              <w:t xml:space="preserve">economic growth </w:t>
            </w:r>
          </w:p>
          <w:p w14:paraId="1A29D5B2" w14:textId="77777777" w:rsidR="001970E8" w:rsidRDefault="001970E8" w:rsidP="001970E8">
            <w:pPr>
              <w:pStyle w:val="NormalWeb"/>
              <w:numPr>
                <w:ilvl w:val="0"/>
                <w:numId w:val="3"/>
              </w:numPr>
              <w:shd w:val="clear" w:color="auto" w:fill="FFFFFF"/>
              <w:rPr>
                <w:rFonts w:ascii="StoneSerif" w:hAnsi="StoneSerif"/>
                <w:sz w:val="20"/>
                <w:szCs w:val="20"/>
              </w:rPr>
            </w:pPr>
            <w:r>
              <w:rPr>
                <w:rFonts w:ascii="StoneSerif" w:hAnsi="StoneSerif"/>
                <w:sz w:val="20"/>
                <w:szCs w:val="20"/>
              </w:rPr>
              <w:t xml:space="preserve">an equitable distribution of income </w:t>
            </w:r>
          </w:p>
          <w:p w14:paraId="7BDF8EAA" w14:textId="4618BC40" w:rsidR="004C089C" w:rsidRPr="001970E8" w:rsidRDefault="001970E8" w:rsidP="001970E8">
            <w:pPr>
              <w:pStyle w:val="NormalWeb"/>
              <w:numPr>
                <w:ilvl w:val="0"/>
                <w:numId w:val="3"/>
              </w:numPr>
              <w:shd w:val="clear" w:color="auto" w:fill="FFFFFF"/>
              <w:rPr>
                <w:rFonts w:ascii="StoneSerif" w:hAnsi="StoneSerif"/>
                <w:sz w:val="20"/>
                <w:szCs w:val="20"/>
              </w:rPr>
            </w:pPr>
            <w:r>
              <w:rPr>
                <w:rFonts w:ascii="StoneSerif" w:hAnsi="StoneSerif"/>
                <w:sz w:val="20"/>
                <w:szCs w:val="20"/>
              </w:rPr>
              <w:t xml:space="preserve">external balance (balance of trade and avoidance of balance of payments problems). </w:t>
            </w:r>
          </w:p>
        </w:tc>
      </w:tr>
      <w:tr w:rsidR="00CB0722" w14:paraId="4FA84E73" w14:textId="77777777" w:rsidTr="00600D73">
        <w:tc>
          <w:tcPr>
            <w:tcW w:w="10790" w:type="dxa"/>
            <w:gridSpan w:val="2"/>
            <w:tcBorders>
              <w:top w:val="single" w:sz="4" w:space="0" w:color="auto"/>
              <w:left w:val="nil"/>
              <w:bottom w:val="single" w:sz="4" w:space="0" w:color="auto"/>
              <w:right w:val="nil"/>
            </w:tcBorders>
          </w:tcPr>
          <w:p w14:paraId="5425F802" w14:textId="77777777" w:rsidR="00CB0722" w:rsidRDefault="00CB0722" w:rsidP="004C089C"/>
        </w:tc>
      </w:tr>
      <w:tr w:rsidR="00CB0722" w14:paraId="6C9D6A8A" w14:textId="77777777" w:rsidTr="00600D73">
        <w:tc>
          <w:tcPr>
            <w:tcW w:w="10790" w:type="dxa"/>
            <w:gridSpan w:val="2"/>
            <w:tcBorders>
              <w:top w:val="single" w:sz="4" w:space="0" w:color="auto"/>
            </w:tcBorders>
            <w:shd w:val="clear" w:color="auto" w:fill="30CDD7"/>
          </w:tcPr>
          <w:p w14:paraId="06D676EF" w14:textId="77777777" w:rsidR="00CB0722" w:rsidRPr="00D97636" w:rsidRDefault="00CB0722" w:rsidP="00600D73">
            <w:pPr>
              <w:jc w:val="center"/>
              <w:rPr>
                <w:b/>
                <w:sz w:val="32"/>
                <w:szCs w:val="32"/>
              </w:rPr>
            </w:pPr>
            <w:r>
              <w:rPr>
                <w:b/>
                <w:sz w:val="32"/>
                <w:szCs w:val="32"/>
              </w:rPr>
              <w:t>How will progress be measured?</w:t>
            </w:r>
          </w:p>
        </w:tc>
      </w:tr>
      <w:tr w:rsidR="00CB0722" w14:paraId="66CDAC09" w14:textId="77777777" w:rsidTr="00600D73">
        <w:trPr>
          <w:trHeight w:val="88"/>
        </w:trPr>
        <w:tc>
          <w:tcPr>
            <w:tcW w:w="2965" w:type="dxa"/>
            <w:shd w:val="clear" w:color="auto" w:fill="30CDD7"/>
            <w:vAlign w:val="center"/>
          </w:tcPr>
          <w:p w14:paraId="6E0D276B" w14:textId="77777777" w:rsidR="00CB0722" w:rsidRPr="008D5C05" w:rsidRDefault="00CB0722" w:rsidP="00600D73">
            <w:pPr>
              <w:jc w:val="center"/>
              <w:rPr>
                <w:sz w:val="24"/>
              </w:rPr>
            </w:pPr>
            <w:r w:rsidRPr="008D5C05">
              <w:rPr>
                <w:sz w:val="24"/>
              </w:rPr>
              <w:t>Diagnostic Assessment:</w:t>
            </w:r>
          </w:p>
        </w:tc>
        <w:tc>
          <w:tcPr>
            <w:tcW w:w="7825" w:type="dxa"/>
          </w:tcPr>
          <w:p w14:paraId="209DF506" w14:textId="646D1372" w:rsidR="00682205" w:rsidRPr="004C089C" w:rsidRDefault="004C089C" w:rsidP="004902B7">
            <w:pPr>
              <w:ind w:right="240"/>
              <w:rPr>
                <w:rFonts w:ascii="Source Sans Pro" w:eastAsia="Times New Roman" w:hAnsi="Source Sans Pro" w:cs="Arial"/>
                <w:color w:val="333333"/>
                <w:sz w:val="21"/>
                <w:szCs w:val="21"/>
              </w:rPr>
            </w:pPr>
            <w:r w:rsidRPr="004C089C">
              <w:rPr>
                <w:rFonts w:ascii="Source Sans Pro" w:eastAsia="Times New Roman" w:hAnsi="Source Sans Pro" w:cs="Arial"/>
                <w:color w:val="000000" w:themeColor="text1"/>
                <w:sz w:val="21"/>
                <w:szCs w:val="21"/>
              </w:rPr>
              <w:t xml:space="preserve">A </w:t>
            </w:r>
            <w:proofErr w:type="gramStart"/>
            <w:r w:rsidRPr="004C089C">
              <w:rPr>
                <w:rFonts w:ascii="Source Sans Pro" w:eastAsia="Times New Roman" w:hAnsi="Source Sans Pro" w:cs="Arial"/>
                <w:color w:val="000000" w:themeColor="text1"/>
                <w:sz w:val="21"/>
                <w:szCs w:val="21"/>
              </w:rPr>
              <w:t>15 question</w:t>
            </w:r>
            <w:proofErr w:type="gramEnd"/>
            <w:r w:rsidRPr="004C089C">
              <w:rPr>
                <w:rFonts w:ascii="Source Sans Pro" w:eastAsia="Times New Roman" w:hAnsi="Source Sans Pro" w:cs="Arial"/>
                <w:color w:val="000000" w:themeColor="text1"/>
                <w:sz w:val="21"/>
                <w:szCs w:val="21"/>
              </w:rPr>
              <w:t xml:space="preserve"> baseline assessment will be set before the unit is studied and returned to at the end of the unit.</w:t>
            </w:r>
          </w:p>
        </w:tc>
      </w:tr>
      <w:tr w:rsidR="00CB0722" w14:paraId="586D6E97" w14:textId="77777777" w:rsidTr="00600D73">
        <w:trPr>
          <w:trHeight w:val="86"/>
        </w:trPr>
        <w:tc>
          <w:tcPr>
            <w:tcW w:w="2965" w:type="dxa"/>
            <w:tcBorders>
              <w:bottom w:val="single" w:sz="4" w:space="0" w:color="auto"/>
            </w:tcBorders>
            <w:shd w:val="clear" w:color="auto" w:fill="30CDD7"/>
            <w:vAlign w:val="center"/>
          </w:tcPr>
          <w:p w14:paraId="7B4DD2B2" w14:textId="77777777" w:rsidR="00CB0722" w:rsidRPr="008D5C05" w:rsidRDefault="00CB0722" w:rsidP="00600D73">
            <w:pPr>
              <w:jc w:val="center"/>
              <w:rPr>
                <w:sz w:val="24"/>
              </w:rPr>
            </w:pPr>
            <w:r w:rsidRPr="008D5C05">
              <w:rPr>
                <w:sz w:val="24"/>
              </w:rPr>
              <w:t>Formative Assessment:</w:t>
            </w:r>
          </w:p>
        </w:tc>
        <w:tc>
          <w:tcPr>
            <w:tcW w:w="7825" w:type="dxa"/>
            <w:tcBorders>
              <w:bottom w:val="single" w:sz="4" w:space="0" w:color="auto"/>
            </w:tcBorders>
          </w:tcPr>
          <w:p w14:paraId="322F3768" w14:textId="5A98F17C" w:rsidR="00682205" w:rsidRPr="00A764C4" w:rsidRDefault="00C07187" w:rsidP="00682205">
            <w:pPr>
              <w:rPr>
                <w:rFonts w:ascii="Arial" w:hAnsi="Arial" w:cs="Arial"/>
                <w:sz w:val="21"/>
                <w:szCs w:val="21"/>
              </w:rPr>
            </w:pPr>
            <w:r w:rsidRPr="00A764C4">
              <w:rPr>
                <w:rFonts w:ascii="Arial" w:hAnsi="Arial" w:cs="Arial"/>
                <w:sz w:val="21"/>
                <w:szCs w:val="21"/>
              </w:rPr>
              <w:t xml:space="preserve">Over the course the unit students will </w:t>
            </w:r>
            <w:r w:rsidR="004902B7" w:rsidRPr="00A764C4">
              <w:rPr>
                <w:rFonts w:ascii="Arial" w:hAnsi="Arial" w:cs="Arial"/>
                <w:sz w:val="21"/>
                <w:szCs w:val="21"/>
              </w:rPr>
              <w:t xml:space="preserve">use a range of activities to study a range of </w:t>
            </w:r>
            <w:r w:rsidR="001970E8">
              <w:rPr>
                <w:rFonts w:ascii="Arial" w:hAnsi="Arial" w:cs="Arial"/>
                <w:sz w:val="21"/>
                <w:szCs w:val="21"/>
              </w:rPr>
              <w:t xml:space="preserve">macroeconomic </w:t>
            </w:r>
            <w:r w:rsidR="004C089C">
              <w:rPr>
                <w:rFonts w:ascii="Arial" w:hAnsi="Arial" w:cs="Arial"/>
                <w:sz w:val="21"/>
                <w:szCs w:val="21"/>
              </w:rPr>
              <w:t xml:space="preserve">topics. Further, there will be frequent </w:t>
            </w:r>
            <w:proofErr w:type="spellStart"/>
            <w:r w:rsidR="004C089C">
              <w:rPr>
                <w:rFonts w:ascii="Arial" w:hAnsi="Arial" w:cs="Arial"/>
                <w:sz w:val="21"/>
                <w:szCs w:val="21"/>
              </w:rPr>
              <w:t>practive</w:t>
            </w:r>
            <w:proofErr w:type="spellEnd"/>
            <w:r w:rsidR="004C089C">
              <w:rPr>
                <w:rFonts w:ascii="Arial" w:hAnsi="Arial" w:cs="Arial"/>
                <w:sz w:val="21"/>
                <w:szCs w:val="21"/>
              </w:rPr>
              <w:t xml:space="preserve"> tests to ensure that students are fully understanding the content they are covering.</w:t>
            </w:r>
          </w:p>
        </w:tc>
      </w:tr>
      <w:tr w:rsidR="00CB0722" w14:paraId="45BF1C07" w14:textId="77777777" w:rsidTr="00600D73">
        <w:trPr>
          <w:trHeight w:val="86"/>
        </w:trPr>
        <w:tc>
          <w:tcPr>
            <w:tcW w:w="2965" w:type="dxa"/>
            <w:tcBorders>
              <w:bottom w:val="single" w:sz="4" w:space="0" w:color="auto"/>
            </w:tcBorders>
            <w:shd w:val="clear" w:color="auto" w:fill="30CDD7"/>
            <w:vAlign w:val="center"/>
          </w:tcPr>
          <w:p w14:paraId="79388093" w14:textId="77777777" w:rsidR="00CB0722" w:rsidRPr="008D5C05" w:rsidRDefault="00CB0722" w:rsidP="00600D73">
            <w:pPr>
              <w:jc w:val="center"/>
              <w:rPr>
                <w:sz w:val="24"/>
              </w:rPr>
            </w:pPr>
            <w:r w:rsidRPr="008D5C05">
              <w:rPr>
                <w:sz w:val="24"/>
              </w:rPr>
              <w:t>Summative Assessment:</w:t>
            </w:r>
          </w:p>
        </w:tc>
        <w:tc>
          <w:tcPr>
            <w:tcW w:w="7825" w:type="dxa"/>
            <w:tcBorders>
              <w:bottom w:val="single" w:sz="4" w:space="0" w:color="auto"/>
            </w:tcBorders>
          </w:tcPr>
          <w:p w14:paraId="4240A9CE" w14:textId="41CA5CFC" w:rsidR="00682205" w:rsidRPr="00A764C4" w:rsidRDefault="004902B7" w:rsidP="00682205">
            <w:pPr>
              <w:rPr>
                <w:rFonts w:ascii="Arial" w:hAnsi="Arial" w:cs="Arial"/>
                <w:sz w:val="21"/>
                <w:szCs w:val="21"/>
              </w:rPr>
            </w:pPr>
            <w:r w:rsidRPr="00A764C4">
              <w:rPr>
                <w:rFonts w:ascii="Arial" w:hAnsi="Arial" w:cs="Arial"/>
                <w:sz w:val="21"/>
                <w:szCs w:val="21"/>
              </w:rPr>
              <w:t xml:space="preserve">The unit will end with a formally </w:t>
            </w:r>
            <w:r w:rsidR="001970E8">
              <w:rPr>
                <w:rFonts w:ascii="Arial" w:hAnsi="Arial" w:cs="Arial"/>
                <w:sz w:val="21"/>
                <w:szCs w:val="21"/>
              </w:rPr>
              <w:t>assessed paper 1 with a choice of 2 Macroe</w:t>
            </w:r>
            <w:r w:rsidR="004C089C">
              <w:rPr>
                <w:rFonts w:ascii="Arial" w:hAnsi="Arial" w:cs="Arial"/>
                <w:sz w:val="21"/>
                <w:szCs w:val="21"/>
              </w:rPr>
              <w:t xml:space="preserve">conomics questions from 3. This assessment will have </w:t>
            </w:r>
            <w:r w:rsidR="001970E8">
              <w:rPr>
                <w:rFonts w:ascii="Arial" w:hAnsi="Arial" w:cs="Arial"/>
                <w:sz w:val="21"/>
                <w:szCs w:val="21"/>
              </w:rPr>
              <w:t>a high weighting in the Summer</w:t>
            </w:r>
            <w:r w:rsidR="004C089C">
              <w:rPr>
                <w:rFonts w:ascii="Arial" w:hAnsi="Arial" w:cs="Arial"/>
                <w:sz w:val="21"/>
                <w:szCs w:val="21"/>
              </w:rPr>
              <w:t xml:space="preserve"> 2019 </w:t>
            </w:r>
            <w:r w:rsidR="001970E8">
              <w:rPr>
                <w:rFonts w:ascii="Arial" w:hAnsi="Arial" w:cs="Arial"/>
                <w:sz w:val="21"/>
                <w:szCs w:val="21"/>
              </w:rPr>
              <w:t xml:space="preserve">report together with the Year </w:t>
            </w:r>
            <w:proofErr w:type="gramStart"/>
            <w:r w:rsidR="001970E8">
              <w:rPr>
                <w:rFonts w:ascii="Arial" w:hAnsi="Arial" w:cs="Arial"/>
                <w:sz w:val="21"/>
                <w:szCs w:val="21"/>
              </w:rPr>
              <w:t>12  mid</w:t>
            </w:r>
            <w:proofErr w:type="gramEnd"/>
            <w:r w:rsidR="001970E8">
              <w:rPr>
                <w:rFonts w:ascii="Arial" w:hAnsi="Arial" w:cs="Arial"/>
                <w:sz w:val="21"/>
                <w:szCs w:val="21"/>
              </w:rPr>
              <w:t>-course</w:t>
            </w:r>
            <w:r w:rsidR="004C089C">
              <w:rPr>
                <w:rFonts w:ascii="Arial" w:hAnsi="Arial" w:cs="Arial"/>
                <w:sz w:val="21"/>
                <w:szCs w:val="21"/>
              </w:rPr>
              <w:t xml:space="preserve"> exam.</w:t>
            </w:r>
          </w:p>
        </w:tc>
      </w:tr>
      <w:tr w:rsidR="00CB0722" w14:paraId="3CD1791D" w14:textId="77777777" w:rsidTr="00600D73">
        <w:trPr>
          <w:trHeight w:val="86"/>
        </w:trPr>
        <w:tc>
          <w:tcPr>
            <w:tcW w:w="10790" w:type="dxa"/>
            <w:gridSpan w:val="2"/>
            <w:tcBorders>
              <w:top w:val="nil"/>
              <w:left w:val="nil"/>
              <w:bottom w:val="single" w:sz="4" w:space="0" w:color="auto"/>
              <w:right w:val="nil"/>
            </w:tcBorders>
            <w:shd w:val="clear" w:color="auto" w:fill="auto"/>
            <w:vAlign w:val="center"/>
          </w:tcPr>
          <w:p w14:paraId="4FA30A5D" w14:textId="2C2971EA" w:rsidR="00CB0722" w:rsidRDefault="00CB0722" w:rsidP="00600D73"/>
        </w:tc>
      </w:tr>
      <w:tr w:rsidR="00CB0722" w14:paraId="2899A1D2" w14:textId="77777777" w:rsidTr="00600D73">
        <w:tc>
          <w:tcPr>
            <w:tcW w:w="10790" w:type="dxa"/>
            <w:gridSpan w:val="2"/>
            <w:tcBorders>
              <w:top w:val="single" w:sz="4" w:space="0" w:color="auto"/>
            </w:tcBorders>
            <w:shd w:val="clear" w:color="auto" w:fill="30CDD7"/>
          </w:tcPr>
          <w:p w14:paraId="4B201385" w14:textId="77777777" w:rsidR="00CB0722" w:rsidRPr="00D97636" w:rsidRDefault="00CB0722" w:rsidP="00600D73">
            <w:pPr>
              <w:jc w:val="center"/>
              <w:rPr>
                <w:b/>
                <w:sz w:val="32"/>
                <w:szCs w:val="32"/>
              </w:rPr>
            </w:pPr>
            <w:r>
              <w:rPr>
                <w:b/>
                <w:sz w:val="32"/>
                <w:szCs w:val="32"/>
              </w:rPr>
              <w:t>Support Available</w:t>
            </w:r>
          </w:p>
        </w:tc>
      </w:tr>
      <w:tr w:rsidR="00CB0722" w14:paraId="24ED234A" w14:textId="77777777" w:rsidTr="0032714A">
        <w:trPr>
          <w:trHeight w:val="818"/>
        </w:trPr>
        <w:tc>
          <w:tcPr>
            <w:tcW w:w="2965" w:type="dxa"/>
            <w:shd w:val="clear" w:color="auto" w:fill="30CDD7"/>
            <w:vAlign w:val="center"/>
          </w:tcPr>
          <w:p w14:paraId="28E1BA3A" w14:textId="77777777" w:rsidR="00CB0722" w:rsidRPr="008D5C05" w:rsidRDefault="00CB0722" w:rsidP="00600D73">
            <w:pPr>
              <w:jc w:val="center"/>
              <w:rPr>
                <w:sz w:val="24"/>
              </w:rPr>
            </w:pPr>
            <w:r w:rsidRPr="008D5C05">
              <w:rPr>
                <w:sz w:val="24"/>
              </w:rPr>
              <w:t>Useful resources:</w:t>
            </w:r>
          </w:p>
        </w:tc>
        <w:tc>
          <w:tcPr>
            <w:tcW w:w="7825" w:type="dxa"/>
          </w:tcPr>
          <w:p w14:paraId="76B1FABD" w14:textId="10A9158A" w:rsidR="00D257B6" w:rsidRDefault="00A764C4" w:rsidP="00600D73">
            <w:r>
              <w:t xml:space="preserve">All </w:t>
            </w:r>
            <w:r w:rsidR="004C089C">
              <w:t xml:space="preserve">IB Economics </w:t>
            </w:r>
            <w:r>
              <w:t xml:space="preserve">resources and support materials are available on the </w:t>
            </w:r>
            <w:r w:rsidR="004C089C">
              <w:t xml:space="preserve">Humanities </w:t>
            </w:r>
            <w:r>
              <w:t>Department website to be found</w:t>
            </w:r>
            <w:r w:rsidR="004C089C">
              <w:t xml:space="preserve"> at - </w:t>
            </w:r>
            <w:hyperlink r:id="rId7" w:history="1">
              <w:r w:rsidR="004C089C" w:rsidRPr="004C089C">
                <w:rPr>
                  <w:rStyle w:val="Hyperlink"/>
                </w:rPr>
                <w:t>http://www.bishoustonhumanities.net/economics-home.html</w:t>
              </w:r>
            </w:hyperlink>
          </w:p>
        </w:tc>
      </w:tr>
      <w:tr w:rsidR="00CB0722" w14:paraId="2FD8F479" w14:textId="77777777" w:rsidTr="005E0D63">
        <w:trPr>
          <w:trHeight w:val="86"/>
        </w:trPr>
        <w:tc>
          <w:tcPr>
            <w:tcW w:w="2965" w:type="dxa"/>
            <w:shd w:val="clear" w:color="auto" w:fill="30CDD7"/>
            <w:vAlign w:val="center"/>
          </w:tcPr>
          <w:p w14:paraId="386FA6D3" w14:textId="00A54ACB" w:rsidR="00CB0722" w:rsidRPr="008D5C05" w:rsidRDefault="00CB0722" w:rsidP="00600D73">
            <w:pPr>
              <w:jc w:val="center"/>
              <w:rPr>
                <w:sz w:val="24"/>
              </w:rPr>
            </w:pPr>
          </w:p>
          <w:p w14:paraId="2E5FB76F" w14:textId="77777777" w:rsidR="00CB0722" w:rsidRPr="008D5C05" w:rsidRDefault="00CB0722" w:rsidP="00600D73">
            <w:pPr>
              <w:jc w:val="center"/>
              <w:rPr>
                <w:sz w:val="24"/>
              </w:rPr>
            </w:pPr>
            <w:r>
              <w:rPr>
                <w:sz w:val="24"/>
              </w:rPr>
              <w:t>Key Contacts</w:t>
            </w:r>
            <w:r w:rsidRPr="008D5C05">
              <w:rPr>
                <w:sz w:val="24"/>
              </w:rPr>
              <w:t>:</w:t>
            </w:r>
          </w:p>
          <w:p w14:paraId="290CDB71" w14:textId="77777777" w:rsidR="00CB0722" w:rsidRPr="008D5C05" w:rsidRDefault="00CB0722" w:rsidP="00600D73">
            <w:pPr>
              <w:rPr>
                <w:sz w:val="24"/>
              </w:rPr>
            </w:pPr>
          </w:p>
        </w:tc>
        <w:tc>
          <w:tcPr>
            <w:tcW w:w="7825" w:type="dxa"/>
            <w:vAlign w:val="center"/>
          </w:tcPr>
          <w:p w14:paraId="7C0D934D" w14:textId="26526DFC" w:rsidR="00CB0722" w:rsidRDefault="004C089C" w:rsidP="005E0D63">
            <w:r>
              <w:t>Dan Bish</w:t>
            </w:r>
            <w:r w:rsidR="00ED515A">
              <w:t xml:space="preserve"> – Teacher of </w:t>
            </w:r>
            <w:r>
              <w:t>Economics</w:t>
            </w:r>
          </w:p>
        </w:tc>
      </w:tr>
    </w:tbl>
    <w:p w14:paraId="4CAA9BCF" w14:textId="5F46BBCD" w:rsidR="002A6A5B" w:rsidRPr="00CB0722" w:rsidRDefault="002A6A5B" w:rsidP="00CB0722">
      <w:bookmarkStart w:id="0" w:name="_GoBack"/>
      <w:bookmarkEnd w:id="0"/>
    </w:p>
    <w:sectPr w:rsidR="002A6A5B" w:rsidRPr="00CB0722" w:rsidSect="004264DB">
      <w:headerReference w:type="default" r:id="rId8"/>
      <w:footerReference w:type="default" r:id="rId9"/>
      <w:pgSz w:w="12240" w:h="15840"/>
      <w:pgMar w:top="720" w:right="720" w:bottom="720" w:left="72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D7BB1" w14:textId="77777777" w:rsidR="00431832" w:rsidRDefault="00431832" w:rsidP="00291F5C">
      <w:pPr>
        <w:spacing w:after="0" w:line="240" w:lineRule="auto"/>
      </w:pPr>
      <w:r>
        <w:separator/>
      </w:r>
    </w:p>
  </w:endnote>
  <w:endnote w:type="continuationSeparator" w:id="0">
    <w:p w14:paraId="749A4A48" w14:textId="77777777" w:rsidR="00431832" w:rsidRDefault="00431832" w:rsidP="0029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pitch w:val="variable"/>
    <w:sig w:usb0="20000007" w:usb1="00000001" w:usb2="00000000" w:usb3="00000000" w:csb0="00000193" w:csb1="00000000"/>
  </w:font>
  <w:font w:name="StoneSerif">
    <w:altName w:val="Cambria"/>
    <w:panose1 w:val="020B0604020202020204"/>
    <w:charset w:val="00"/>
    <w:family w:val="roman"/>
    <w:notTrueType/>
    <w:pitch w:val="default"/>
  </w:font>
  <w:font w:name="Source Sans Pro Semibold">
    <w:panose1 w:val="020B0603030403020204"/>
    <w:charset w:val="4D"/>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4EA7" w14:textId="77777777" w:rsidR="004264DB" w:rsidRDefault="004264DB">
    <w:pPr>
      <w:pStyle w:val="Footer"/>
    </w:pPr>
    <w:r>
      <w:rPr>
        <w:noProof/>
      </w:rPr>
      <mc:AlternateContent>
        <mc:Choice Requires="wps">
          <w:drawing>
            <wp:anchor distT="45720" distB="45720" distL="114300" distR="114300" simplePos="0" relativeHeight="251664384" behindDoc="0" locked="0" layoutInCell="1" allowOverlap="1" wp14:anchorId="51968A41" wp14:editId="1742BF99">
              <wp:simplePos x="0" y="0"/>
              <wp:positionH relativeFrom="column">
                <wp:posOffset>-57150</wp:posOffset>
              </wp:positionH>
              <wp:positionV relativeFrom="paragraph">
                <wp:posOffset>83820</wp:posOffset>
              </wp:positionV>
              <wp:extent cx="133350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5275"/>
                      </a:xfrm>
                      <a:prstGeom prst="rect">
                        <a:avLst/>
                      </a:prstGeom>
                      <a:solidFill>
                        <a:srgbClr val="FFFFFF"/>
                      </a:solidFill>
                      <a:ln w="9525">
                        <a:noFill/>
                        <a:miter lim="800000"/>
                        <a:headEnd/>
                        <a:tailEnd/>
                      </a:ln>
                    </wps:spPr>
                    <wps:txbx>
                      <w:txbxContent>
                        <w:p w14:paraId="613B4171" w14:textId="77777777" w:rsidR="004264DB" w:rsidRPr="00965DCE" w:rsidRDefault="004264DB" w:rsidP="004264DB">
                          <w:pPr>
                            <w:rPr>
                              <w:rFonts w:ascii="Source Sans Pro Semibold" w:hAnsi="Source Sans Pro Semibold"/>
                              <w:color w:val="30CDD7"/>
                              <w:sz w:val="18"/>
                              <w:szCs w:val="18"/>
                            </w:rPr>
                          </w:pPr>
                          <w:r w:rsidRPr="00965DCE">
                            <w:rPr>
                              <w:rFonts w:ascii="Source Sans Pro Semibold" w:hAnsi="Source Sans Pro Semibold"/>
                              <w:color w:val="30CDD7"/>
                              <w:sz w:val="18"/>
                              <w:szCs w:val="18"/>
                            </w:rPr>
                            <w:t>www.bishouston.org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68A41" id="_x0000_t202" coordsize="21600,21600" o:spt="202" path="m,l,21600r21600,l21600,xe">
              <v:stroke joinstyle="miter"/>
              <v:path gradientshapeok="t" o:connecttype="rect"/>
            </v:shapetype>
            <v:shape id="_x0000_s1027" type="#_x0000_t202" style="position:absolute;margin-left:-4.5pt;margin-top:6.6pt;width:105pt;height:2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" stroked="f">
              <v:textbox>
                <w:txbxContent>
                  <w:p w14:paraId="613B4171" w14:textId="77777777" w:rsidR="004264DB" w:rsidRPr="00965DCE" w:rsidRDefault="004264DB" w:rsidP="004264DB">
                    <w:pPr>
                      <w:rPr>
                        <w:rFonts w:ascii="Source Sans Pro Semibold" w:hAnsi="Source Sans Pro Semibold"/>
                        <w:color w:val="30CDD7"/>
                        <w:sz w:val="18"/>
                        <w:szCs w:val="18"/>
                      </w:rPr>
                    </w:pPr>
                    <w:r w:rsidRPr="00965DCE">
                      <w:rPr>
                        <w:rFonts w:ascii="Source Sans Pro Semibold" w:hAnsi="Source Sans Pro Semibold"/>
                        <w:color w:val="30CDD7"/>
                        <w:sz w:val="18"/>
                        <w:szCs w:val="18"/>
                      </w:rPr>
                      <w:t>www.bishouston.org</w:t>
                    </w:r>
                  </w:p>
                </w:txbxContent>
              </v:textbox>
              <w10:wrap type="square"/>
            </v:shape>
          </w:pict>
        </mc:Fallback>
      </mc:AlternateContent>
    </w:r>
  </w:p>
  <w:p w14:paraId="6DCF4ABC" w14:textId="77777777" w:rsidR="004264DB" w:rsidRDefault="0042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7437A" w14:textId="77777777" w:rsidR="00431832" w:rsidRDefault="00431832" w:rsidP="00291F5C">
      <w:pPr>
        <w:spacing w:after="0" w:line="240" w:lineRule="auto"/>
      </w:pPr>
      <w:r>
        <w:separator/>
      </w:r>
    </w:p>
  </w:footnote>
  <w:footnote w:type="continuationSeparator" w:id="0">
    <w:p w14:paraId="7F8B84F8" w14:textId="77777777" w:rsidR="00431832" w:rsidRDefault="00431832" w:rsidP="0029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2895" w14:textId="77777777" w:rsidR="00291F5C" w:rsidRDefault="0002334C" w:rsidP="00B24C7A">
    <w:pPr>
      <w:pStyle w:val="Header"/>
    </w:pPr>
    <w:r>
      <w:rPr>
        <w:noProof/>
      </w:rPr>
      <mc:AlternateContent>
        <mc:Choice Requires="wps">
          <w:drawing>
            <wp:anchor distT="45720" distB="45720" distL="114300" distR="114300" simplePos="0" relativeHeight="251662336" behindDoc="0" locked="0" layoutInCell="1" allowOverlap="1" wp14:anchorId="5D7172E2" wp14:editId="64514275">
              <wp:simplePos x="0" y="0"/>
              <wp:positionH relativeFrom="margin">
                <wp:align>right</wp:align>
              </wp:positionH>
              <wp:positionV relativeFrom="paragraph">
                <wp:posOffset>-706755</wp:posOffset>
              </wp:positionV>
              <wp:extent cx="2590800" cy="733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33425"/>
                      </a:xfrm>
                      <a:prstGeom prst="rect">
                        <a:avLst/>
                      </a:prstGeom>
                      <a:solidFill>
                        <a:srgbClr val="FFFFFF"/>
                      </a:solidFill>
                      <a:ln w="9525">
                        <a:noFill/>
                        <a:miter lim="800000"/>
                        <a:headEnd/>
                        <a:tailEnd/>
                      </a:ln>
                    </wps:spPr>
                    <wps:txbx>
                      <w:txbxContent>
                        <w:p w14:paraId="76BD1E34" w14:textId="77777777" w:rsidR="00B24C7A" w:rsidRPr="004264DB" w:rsidRDefault="00757694" w:rsidP="004264DB">
                          <w:pPr>
                            <w:spacing w:after="20"/>
                            <w:rPr>
                              <w:rFonts w:ascii="Source Sans Pro" w:hAnsi="Source Sans Pro"/>
                              <w:sz w:val="18"/>
                              <w:szCs w:val="18"/>
                            </w:rPr>
                          </w:pPr>
                          <w:r>
                            <w:rPr>
                              <w:rFonts w:ascii="Source Sans Pro" w:hAnsi="Source Sans Pro"/>
                              <w:sz w:val="18"/>
                              <w:szCs w:val="18"/>
                            </w:rPr>
                            <w:t>2203 N. Westgreen Blvd, Katy, Texas 77449</w:t>
                          </w:r>
                        </w:p>
                        <w:p w14:paraId="503CB7FC" w14:textId="77777777" w:rsidR="00B24C7A" w:rsidRDefault="004264DB" w:rsidP="004264DB">
                          <w:pPr>
                            <w:spacing w:after="20"/>
                            <w:rPr>
                              <w:rFonts w:ascii="Source Sans Pro" w:hAnsi="Source Sans Pro"/>
                              <w:sz w:val="18"/>
                              <w:szCs w:val="18"/>
                            </w:rPr>
                          </w:pPr>
                          <w:r>
                            <w:rPr>
                              <w:rFonts w:ascii="Source Sans Pro" w:hAnsi="Source Sans Pro"/>
                              <w:sz w:val="18"/>
                              <w:szCs w:val="18"/>
                            </w:rPr>
                            <w:t>T:</w:t>
                          </w:r>
                          <w:r w:rsidR="00B24C7A" w:rsidRPr="004264DB">
                            <w:rPr>
                              <w:rFonts w:ascii="Source Sans Pro" w:hAnsi="Source Sans Pro"/>
                              <w:sz w:val="18"/>
                              <w:szCs w:val="18"/>
                            </w:rPr>
                            <w:t xml:space="preserve"> 713.290.9025</w:t>
                          </w:r>
                        </w:p>
                        <w:p w14:paraId="446B2B91" w14:textId="77777777" w:rsidR="00E96A57" w:rsidRPr="004264DB" w:rsidRDefault="00E96A57" w:rsidP="004264DB">
                          <w:pPr>
                            <w:spacing w:after="20"/>
                            <w:rPr>
                              <w:rFonts w:ascii="Source Sans Pro" w:hAnsi="Source Sans Pro"/>
                              <w:sz w:val="18"/>
                              <w:szCs w:val="18"/>
                            </w:rPr>
                          </w:pPr>
                          <w:r>
                            <w:rPr>
                              <w:rFonts w:ascii="Source Sans Pro" w:hAnsi="Source Sans Pro"/>
                              <w:sz w:val="18"/>
                              <w:szCs w:val="18"/>
                            </w:rPr>
                            <w:t>E: Admin@bishouston.org</w:t>
                          </w:r>
                        </w:p>
                        <w:p w14:paraId="5E733E87" w14:textId="77777777" w:rsidR="00B24C7A" w:rsidRDefault="00B24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172E2" id="_x0000_t202" coordsize="21600,21600" o:spt="202" path="m,l,21600r21600,l21600,xe">
              <v:stroke joinstyle="miter"/>
              <v:path gradientshapeok="t" o:connecttype="rect"/>
            </v:shapetype>
            <v:shape id="Text Box 2" o:spid="_x0000_s1026" type="#_x0000_t202" style="position:absolute;margin-left:152.8pt;margin-top:-55.65pt;width:204pt;height:57.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" stroked="f">
              <v:textbox>
                <w:txbxContent>
                  <w:p w14:paraId="76BD1E34" w14:textId="77777777" w:rsidR="00B24C7A" w:rsidRPr="004264DB" w:rsidRDefault="00757694" w:rsidP="004264DB">
                    <w:pPr>
                      <w:spacing w:after="20"/>
                      <w:rPr>
                        <w:rFonts w:ascii="Source Sans Pro" w:hAnsi="Source Sans Pro"/>
                        <w:sz w:val="18"/>
                        <w:szCs w:val="18"/>
                      </w:rPr>
                    </w:pPr>
                    <w:r>
                      <w:rPr>
                        <w:rFonts w:ascii="Source Sans Pro" w:hAnsi="Source Sans Pro"/>
                        <w:sz w:val="18"/>
                        <w:szCs w:val="18"/>
                      </w:rPr>
                      <w:t>2203 N. Westgreen Blvd, Katy, Texas 77449</w:t>
                    </w:r>
                  </w:p>
                  <w:p w14:paraId="503CB7FC" w14:textId="77777777" w:rsidR="00B24C7A" w:rsidRDefault="004264DB" w:rsidP="004264DB">
                    <w:pPr>
                      <w:spacing w:after="20"/>
                      <w:rPr>
                        <w:rFonts w:ascii="Source Sans Pro" w:hAnsi="Source Sans Pro"/>
                        <w:sz w:val="18"/>
                        <w:szCs w:val="18"/>
                      </w:rPr>
                    </w:pPr>
                    <w:r>
                      <w:rPr>
                        <w:rFonts w:ascii="Source Sans Pro" w:hAnsi="Source Sans Pro"/>
                        <w:sz w:val="18"/>
                        <w:szCs w:val="18"/>
                      </w:rPr>
                      <w:t>T:</w:t>
                    </w:r>
                    <w:r w:rsidR="00B24C7A" w:rsidRPr="004264DB">
                      <w:rPr>
                        <w:rFonts w:ascii="Source Sans Pro" w:hAnsi="Source Sans Pro"/>
                        <w:sz w:val="18"/>
                        <w:szCs w:val="18"/>
                      </w:rPr>
                      <w:t xml:space="preserve"> 713.290.9025</w:t>
                    </w:r>
                  </w:p>
                  <w:p w14:paraId="446B2B91" w14:textId="77777777" w:rsidR="00E96A57" w:rsidRPr="004264DB" w:rsidRDefault="00E96A57" w:rsidP="004264DB">
                    <w:pPr>
                      <w:spacing w:after="20"/>
                      <w:rPr>
                        <w:rFonts w:ascii="Source Sans Pro" w:hAnsi="Source Sans Pro"/>
                        <w:sz w:val="18"/>
                        <w:szCs w:val="18"/>
                      </w:rPr>
                    </w:pPr>
                    <w:r>
                      <w:rPr>
                        <w:rFonts w:ascii="Source Sans Pro" w:hAnsi="Source Sans Pro"/>
                        <w:sz w:val="18"/>
                        <w:szCs w:val="18"/>
                      </w:rPr>
                      <w:t>E: Admin@bishouston.org</w:t>
                    </w:r>
                  </w:p>
                  <w:p w14:paraId="5E733E87" w14:textId="77777777" w:rsidR="00B24C7A" w:rsidRDefault="00B24C7A"/>
                </w:txbxContent>
              </v:textbox>
              <w10:wrap type="square" anchorx="margin"/>
            </v:shape>
          </w:pict>
        </mc:Fallback>
      </mc:AlternateContent>
    </w:r>
    <w:r w:rsidR="00B24C7A">
      <w:rPr>
        <w:noProof/>
      </w:rPr>
      <w:t xml:space="preserve"> </w:t>
    </w:r>
    <w:r w:rsidR="0016180A" w:rsidRPr="0016180A">
      <w:rPr>
        <w:noProof/>
      </w:rPr>
      <w:drawing>
        <wp:inline distT="0" distB="0" distL="0" distR="0" wp14:anchorId="1C6F7419" wp14:editId="7AC5A4A4">
          <wp:extent cx="6702552" cy="448056"/>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875" t="478" r="76221" b="1"/>
                  <a:stretch/>
                </pic:blipFill>
                <pic:spPr bwMode="auto">
                  <a:xfrm>
                    <a:off x="0" y="0"/>
                    <a:ext cx="6702552" cy="448056"/>
                  </a:xfrm>
                  <a:prstGeom prst="rect">
                    <a:avLst/>
                  </a:prstGeom>
                  <a:noFill/>
                  <a:ln>
                    <a:noFill/>
                  </a:ln>
                  <a:extLst>
                    <a:ext uri="{53640926-AAD7-44D8-BBD7-CCE9431645EC}">
                      <a14:shadowObscured xmlns:a14="http://schemas.microsoft.com/office/drawing/2010/main"/>
                    </a:ext>
                  </a:extLst>
                </pic:spPr>
              </pic:pic>
            </a:graphicData>
          </a:graphic>
        </wp:inline>
      </w:drawing>
    </w:r>
    <w:r w:rsidR="00291F5C">
      <w:rPr>
        <w:rFonts w:ascii="Times New Roman" w:hAnsi="Times New Roman"/>
        <w:noProof/>
        <w:sz w:val="24"/>
        <w:szCs w:val="24"/>
      </w:rPr>
      <w:drawing>
        <wp:anchor distT="36576" distB="36576" distL="36576" distR="36576" simplePos="0" relativeHeight="251658240" behindDoc="0" locked="1" layoutInCell="1" allowOverlap="1" wp14:anchorId="0B4A2550" wp14:editId="368619BF">
          <wp:simplePos x="0" y="0"/>
          <wp:positionH relativeFrom="page">
            <wp:posOffset>582295</wp:posOffset>
          </wp:positionH>
          <wp:positionV relativeFrom="page">
            <wp:posOffset>217805</wp:posOffset>
          </wp:positionV>
          <wp:extent cx="4059555" cy="877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9555" cy="877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32E45A" w14:textId="77777777" w:rsidR="00291F5C" w:rsidRDefault="00291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D248F"/>
    <w:multiLevelType w:val="multilevel"/>
    <w:tmpl w:val="8520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EB7073"/>
    <w:multiLevelType w:val="multilevel"/>
    <w:tmpl w:val="6570D5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FEE5DDD"/>
    <w:multiLevelType w:val="multilevel"/>
    <w:tmpl w:val="4B52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F5C"/>
    <w:rsid w:val="00002954"/>
    <w:rsid w:val="0002056C"/>
    <w:rsid w:val="00020DD5"/>
    <w:rsid w:val="0002334C"/>
    <w:rsid w:val="000338C0"/>
    <w:rsid w:val="00045AAD"/>
    <w:rsid w:val="00053A3F"/>
    <w:rsid w:val="000666F3"/>
    <w:rsid w:val="000A7CC8"/>
    <w:rsid w:val="000C203B"/>
    <w:rsid w:val="000C4337"/>
    <w:rsid w:val="000E13DD"/>
    <w:rsid w:val="000F731A"/>
    <w:rsid w:val="00112EE3"/>
    <w:rsid w:val="001144DF"/>
    <w:rsid w:val="001163AA"/>
    <w:rsid w:val="0014290A"/>
    <w:rsid w:val="001452E9"/>
    <w:rsid w:val="0014598B"/>
    <w:rsid w:val="0016180A"/>
    <w:rsid w:val="00165E4D"/>
    <w:rsid w:val="00171D00"/>
    <w:rsid w:val="001970E8"/>
    <w:rsid w:val="001C0AF6"/>
    <w:rsid w:val="001D22C3"/>
    <w:rsid w:val="001D74D9"/>
    <w:rsid w:val="001F3720"/>
    <w:rsid w:val="00221C19"/>
    <w:rsid w:val="00224D53"/>
    <w:rsid w:val="0023250F"/>
    <w:rsid w:val="00257E0B"/>
    <w:rsid w:val="00262245"/>
    <w:rsid w:val="00290586"/>
    <w:rsid w:val="00291F5C"/>
    <w:rsid w:val="00295D13"/>
    <w:rsid w:val="002A4F56"/>
    <w:rsid w:val="002A6A5B"/>
    <w:rsid w:val="002B67B9"/>
    <w:rsid w:val="002B7B03"/>
    <w:rsid w:val="002C49B7"/>
    <w:rsid w:val="002D0198"/>
    <w:rsid w:val="002E2241"/>
    <w:rsid w:val="00306F1C"/>
    <w:rsid w:val="00310197"/>
    <w:rsid w:val="0032198B"/>
    <w:rsid w:val="0032714A"/>
    <w:rsid w:val="0033034B"/>
    <w:rsid w:val="00373CA5"/>
    <w:rsid w:val="003A7962"/>
    <w:rsid w:val="003C7975"/>
    <w:rsid w:val="003F542C"/>
    <w:rsid w:val="00412071"/>
    <w:rsid w:val="004264DB"/>
    <w:rsid w:val="00431832"/>
    <w:rsid w:val="00460A14"/>
    <w:rsid w:val="004736C5"/>
    <w:rsid w:val="00474B0A"/>
    <w:rsid w:val="00481B53"/>
    <w:rsid w:val="004831CF"/>
    <w:rsid w:val="004902B7"/>
    <w:rsid w:val="004C089C"/>
    <w:rsid w:val="004C4ACA"/>
    <w:rsid w:val="004C4C18"/>
    <w:rsid w:val="004C733F"/>
    <w:rsid w:val="004E3DE3"/>
    <w:rsid w:val="004F3F89"/>
    <w:rsid w:val="00502B29"/>
    <w:rsid w:val="005053B4"/>
    <w:rsid w:val="005073D8"/>
    <w:rsid w:val="00561011"/>
    <w:rsid w:val="00571D64"/>
    <w:rsid w:val="00580712"/>
    <w:rsid w:val="005958C3"/>
    <w:rsid w:val="00597A55"/>
    <w:rsid w:val="005A27F5"/>
    <w:rsid w:val="005A31D8"/>
    <w:rsid w:val="005B1815"/>
    <w:rsid w:val="005B6318"/>
    <w:rsid w:val="005B78F7"/>
    <w:rsid w:val="005D1F8A"/>
    <w:rsid w:val="005E0D63"/>
    <w:rsid w:val="005F07D6"/>
    <w:rsid w:val="005F46B5"/>
    <w:rsid w:val="00616B18"/>
    <w:rsid w:val="00662C48"/>
    <w:rsid w:val="006725DA"/>
    <w:rsid w:val="006753FA"/>
    <w:rsid w:val="00682205"/>
    <w:rsid w:val="006B1BAB"/>
    <w:rsid w:val="006F3826"/>
    <w:rsid w:val="00757694"/>
    <w:rsid w:val="0076028F"/>
    <w:rsid w:val="007620D3"/>
    <w:rsid w:val="00784EFB"/>
    <w:rsid w:val="0079121A"/>
    <w:rsid w:val="0079483F"/>
    <w:rsid w:val="007D60AA"/>
    <w:rsid w:val="007F15F0"/>
    <w:rsid w:val="00801573"/>
    <w:rsid w:val="00817E71"/>
    <w:rsid w:val="008314D6"/>
    <w:rsid w:val="008314EE"/>
    <w:rsid w:val="00832CAB"/>
    <w:rsid w:val="00860E1B"/>
    <w:rsid w:val="00860F0D"/>
    <w:rsid w:val="008970D0"/>
    <w:rsid w:val="008B1F3D"/>
    <w:rsid w:val="008D5C05"/>
    <w:rsid w:val="008F79AB"/>
    <w:rsid w:val="00923823"/>
    <w:rsid w:val="00930C56"/>
    <w:rsid w:val="00965DCE"/>
    <w:rsid w:val="00966820"/>
    <w:rsid w:val="009773C6"/>
    <w:rsid w:val="00982A99"/>
    <w:rsid w:val="00992CDD"/>
    <w:rsid w:val="009943AB"/>
    <w:rsid w:val="0099543D"/>
    <w:rsid w:val="009A6CC7"/>
    <w:rsid w:val="009B00D7"/>
    <w:rsid w:val="009D4380"/>
    <w:rsid w:val="009E0A4E"/>
    <w:rsid w:val="009E7A66"/>
    <w:rsid w:val="00A53A03"/>
    <w:rsid w:val="00A61282"/>
    <w:rsid w:val="00A73AF6"/>
    <w:rsid w:val="00A75816"/>
    <w:rsid w:val="00A764C4"/>
    <w:rsid w:val="00A80E42"/>
    <w:rsid w:val="00A84CCC"/>
    <w:rsid w:val="00AA0696"/>
    <w:rsid w:val="00AA0853"/>
    <w:rsid w:val="00AD1ED4"/>
    <w:rsid w:val="00AE22FB"/>
    <w:rsid w:val="00B05BFD"/>
    <w:rsid w:val="00B07612"/>
    <w:rsid w:val="00B15C45"/>
    <w:rsid w:val="00B24C7A"/>
    <w:rsid w:val="00B366A0"/>
    <w:rsid w:val="00B377CA"/>
    <w:rsid w:val="00B81679"/>
    <w:rsid w:val="00B84DD0"/>
    <w:rsid w:val="00B95172"/>
    <w:rsid w:val="00BB0527"/>
    <w:rsid w:val="00C07187"/>
    <w:rsid w:val="00C20DC7"/>
    <w:rsid w:val="00C31D41"/>
    <w:rsid w:val="00C61220"/>
    <w:rsid w:val="00C8094D"/>
    <w:rsid w:val="00C97344"/>
    <w:rsid w:val="00CB0722"/>
    <w:rsid w:val="00CE16E7"/>
    <w:rsid w:val="00CF242E"/>
    <w:rsid w:val="00D15ABB"/>
    <w:rsid w:val="00D1628D"/>
    <w:rsid w:val="00D257B6"/>
    <w:rsid w:val="00D42DD4"/>
    <w:rsid w:val="00D430FE"/>
    <w:rsid w:val="00D64A0D"/>
    <w:rsid w:val="00D818EA"/>
    <w:rsid w:val="00D97636"/>
    <w:rsid w:val="00DD17E2"/>
    <w:rsid w:val="00DD6247"/>
    <w:rsid w:val="00DE3E1E"/>
    <w:rsid w:val="00DF6062"/>
    <w:rsid w:val="00E03323"/>
    <w:rsid w:val="00E05A67"/>
    <w:rsid w:val="00E1288F"/>
    <w:rsid w:val="00E36077"/>
    <w:rsid w:val="00E819EF"/>
    <w:rsid w:val="00E8750D"/>
    <w:rsid w:val="00E90432"/>
    <w:rsid w:val="00E96A57"/>
    <w:rsid w:val="00EB1C13"/>
    <w:rsid w:val="00EB2C5A"/>
    <w:rsid w:val="00EC205D"/>
    <w:rsid w:val="00EC7D67"/>
    <w:rsid w:val="00ED515A"/>
    <w:rsid w:val="00EF1BB9"/>
    <w:rsid w:val="00EF344D"/>
    <w:rsid w:val="00F0383E"/>
    <w:rsid w:val="00F24815"/>
    <w:rsid w:val="00F319E2"/>
    <w:rsid w:val="00F4392A"/>
    <w:rsid w:val="00F4741E"/>
    <w:rsid w:val="00F556B4"/>
    <w:rsid w:val="00F66624"/>
    <w:rsid w:val="00F818A9"/>
    <w:rsid w:val="00F907F8"/>
    <w:rsid w:val="00F90CAD"/>
    <w:rsid w:val="00FB1370"/>
    <w:rsid w:val="00FB6B06"/>
    <w:rsid w:val="00FC6CAA"/>
    <w:rsid w:val="00FD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CA6EB"/>
  <w15:chartTrackingRefBased/>
  <w15:docId w15:val="{8A8421D5-729C-4E4F-B959-A6B388CB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5C"/>
  </w:style>
  <w:style w:type="paragraph" w:styleId="Footer">
    <w:name w:val="footer"/>
    <w:basedOn w:val="Normal"/>
    <w:link w:val="FooterChar"/>
    <w:uiPriority w:val="99"/>
    <w:unhideWhenUsed/>
    <w:rsid w:val="00291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5C"/>
  </w:style>
  <w:style w:type="paragraph" w:styleId="BalloonText">
    <w:name w:val="Balloon Text"/>
    <w:basedOn w:val="Normal"/>
    <w:link w:val="BalloonTextChar"/>
    <w:uiPriority w:val="99"/>
    <w:semiHidden/>
    <w:unhideWhenUsed/>
    <w:rsid w:val="0029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5C"/>
    <w:rPr>
      <w:rFonts w:ascii="Segoe UI" w:hAnsi="Segoe UI" w:cs="Segoe UI"/>
      <w:sz w:val="18"/>
      <w:szCs w:val="18"/>
    </w:rPr>
  </w:style>
  <w:style w:type="paragraph" w:styleId="NoSpacing">
    <w:name w:val="No Spacing"/>
    <w:uiPriority w:val="1"/>
    <w:qFormat/>
    <w:rsid w:val="009B00D7"/>
    <w:pPr>
      <w:spacing w:after="0" w:line="240" w:lineRule="auto"/>
    </w:pPr>
  </w:style>
  <w:style w:type="paragraph" w:customStyle="1" w:styleId="Default">
    <w:name w:val="Default"/>
    <w:rsid w:val="009B00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D6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A5B"/>
    <w:rPr>
      <w:color w:val="0563C1" w:themeColor="hyperlink"/>
      <w:u w:val="single"/>
    </w:rPr>
  </w:style>
  <w:style w:type="paragraph" w:styleId="NormalWeb">
    <w:name w:val="Normal (Web)"/>
    <w:basedOn w:val="Normal"/>
    <w:uiPriority w:val="99"/>
    <w:unhideWhenUsed/>
    <w:rsid w:val="004C089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4C0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9387">
      <w:bodyDiv w:val="1"/>
      <w:marLeft w:val="0"/>
      <w:marRight w:val="0"/>
      <w:marTop w:val="0"/>
      <w:marBottom w:val="0"/>
      <w:divBdr>
        <w:top w:val="none" w:sz="0" w:space="0" w:color="auto"/>
        <w:left w:val="none" w:sz="0" w:space="0" w:color="auto"/>
        <w:bottom w:val="none" w:sz="0" w:space="0" w:color="auto"/>
        <w:right w:val="none" w:sz="0" w:space="0" w:color="auto"/>
      </w:divBdr>
      <w:divsChild>
        <w:div w:id="1560051678">
          <w:marLeft w:val="0"/>
          <w:marRight w:val="0"/>
          <w:marTop w:val="0"/>
          <w:marBottom w:val="0"/>
          <w:divBdr>
            <w:top w:val="none" w:sz="0" w:space="0" w:color="auto"/>
            <w:left w:val="none" w:sz="0" w:space="0" w:color="auto"/>
            <w:bottom w:val="none" w:sz="0" w:space="0" w:color="auto"/>
            <w:right w:val="none" w:sz="0" w:space="0" w:color="auto"/>
          </w:divBdr>
          <w:divsChild>
            <w:div w:id="409737347">
              <w:marLeft w:val="0"/>
              <w:marRight w:val="0"/>
              <w:marTop w:val="0"/>
              <w:marBottom w:val="0"/>
              <w:divBdr>
                <w:top w:val="none" w:sz="0" w:space="0" w:color="auto"/>
                <w:left w:val="none" w:sz="0" w:space="0" w:color="auto"/>
                <w:bottom w:val="none" w:sz="0" w:space="0" w:color="auto"/>
                <w:right w:val="none" w:sz="0" w:space="0" w:color="auto"/>
              </w:divBdr>
              <w:divsChild>
                <w:div w:id="402341319">
                  <w:marLeft w:val="0"/>
                  <w:marRight w:val="0"/>
                  <w:marTop w:val="0"/>
                  <w:marBottom w:val="0"/>
                  <w:divBdr>
                    <w:top w:val="none" w:sz="0" w:space="0" w:color="auto"/>
                    <w:left w:val="none" w:sz="0" w:space="0" w:color="auto"/>
                    <w:bottom w:val="none" w:sz="0" w:space="0" w:color="auto"/>
                    <w:right w:val="none" w:sz="0" w:space="0" w:color="auto"/>
                  </w:divBdr>
                  <w:divsChild>
                    <w:div w:id="6941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127">
      <w:bodyDiv w:val="1"/>
      <w:marLeft w:val="0"/>
      <w:marRight w:val="0"/>
      <w:marTop w:val="0"/>
      <w:marBottom w:val="0"/>
      <w:divBdr>
        <w:top w:val="none" w:sz="0" w:space="0" w:color="auto"/>
        <w:left w:val="none" w:sz="0" w:space="0" w:color="auto"/>
        <w:bottom w:val="none" w:sz="0" w:space="0" w:color="auto"/>
        <w:right w:val="none" w:sz="0" w:space="0" w:color="auto"/>
      </w:divBdr>
      <w:divsChild>
        <w:div w:id="2050060904">
          <w:marLeft w:val="0"/>
          <w:marRight w:val="0"/>
          <w:marTop w:val="0"/>
          <w:marBottom w:val="0"/>
          <w:divBdr>
            <w:top w:val="none" w:sz="0" w:space="0" w:color="auto"/>
            <w:left w:val="none" w:sz="0" w:space="0" w:color="auto"/>
            <w:bottom w:val="none" w:sz="0" w:space="0" w:color="auto"/>
            <w:right w:val="none" w:sz="0" w:space="0" w:color="auto"/>
          </w:divBdr>
          <w:divsChild>
            <w:div w:id="1410691126">
              <w:marLeft w:val="0"/>
              <w:marRight w:val="0"/>
              <w:marTop w:val="0"/>
              <w:marBottom w:val="0"/>
              <w:divBdr>
                <w:top w:val="none" w:sz="0" w:space="0" w:color="auto"/>
                <w:left w:val="none" w:sz="0" w:space="0" w:color="auto"/>
                <w:bottom w:val="none" w:sz="0" w:space="0" w:color="auto"/>
                <w:right w:val="none" w:sz="0" w:space="0" w:color="auto"/>
              </w:divBdr>
              <w:divsChild>
                <w:div w:id="1858619209">
                  <w:marLeft w:val="0"/>
                  <w:marRight w:val="0"/>
                  <w:marTop w:val="0"/>
                  <w:marBottom w:val="0"/>
                  <w:divBdr>
                    <w:top w:val="none" w:sz="0" w:space="0" w:color="auto"/>
                    <w:left w:val="none" w:sz="0" w:space="0" w:color="auto"/>
                    <w:bottom w:val="none" w:sz="0" w:space="0" w:color="auto"/>
                    <w:right w:val="none" w:sz="0" w:space="0" w:color="auto"/>
                  </w:divBdr>
                  <w:divsChild>
                    <w:div w:id="12834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20446">
      <w:bodyDiv w:val="1"/>
      <w:marLeft w:val="0"/>
      <w:marRight w:val="0"/>
      <w:marTop w:val="0"/>
      <w:marBottom w:val="0"/>
      <w:divBdr>
        <w:top w:val="none" w:sz="0" w:space="0" w:color="auto"/>
        <w:left w:val="none" w:sz="0" w:space="0" w:color="auto"/>
        <w:bottom w:val="none" w:sz="0" w:space="0" w:color="auto"/>
        <w:right w:val="none" w:sz="0" w:space="0" w:color="auto"/>
      </w:divBdr>
    </w:div>
    <w:div w:id="2114204134">
      <w:bodyDiv w:val="1"/>
      <w:marLeft w:val="0"/>
      <w:marRight w:val="0"/>
      <w:marTop w:val="0"/>
      <w:marBottom w:val="0"/>
      <w:divBdr>
        <w:top w:val="none" w:sz="0" w:space="0" w:color="auto"/>
        <w:left w:val="none" w:sz="0" w:space="0" w:color="auto"/>
        <w:bottom w:val="none" w:sz="0" w:space="0" w:color="auto"/>
        <w:right w:val="none" w:sz="0" w:space="0" w:color="auto"/>
      </w:divBdr>
      <w:divsChild>
        <w:div w:id="2144424171">
          <w:marLeft w:val="0"/>
          <w:marRight w:val="0"/>
          <w:marTop w:val="0"/>
          <w:marBottom w:val="0"/>
          <w:divBdr>
            <w:top w:val="none" w:sz="0" w:space="0" w:color="auto"/>
            <w:left w:val="none" w:sz="0" w:space="0" w:color="auto"/>
            <w:bottom w:val="none" w:sz="0" w:space="0" w:color="auto"/>
            <w:right w:val="none" w:sz="0" w:space="0" w:color="auto"/>
          </w:divBdr>
        </w:div>
        <w:div w:id="1601061701">
          <w:marLeft w:val="0"/>
          <w:marRight w:val="0"/>
          <w:marTop w:val="0"/>
          <w:marBottom w:val="0"/>
          <w:divBdr>
            <w:top w:val="none" w:sz="0" w:space="0" w:color="auto"/>
            <w:left w:val="none" w:sz="0" w:space="0" w:color="auto"/>
            <w:bottom w:val="none" w:sz="0" w:space="0" w:color="auto"/>
            <w:right w:val="none" w:sz="0" w:space="0" w:color="auto"/>
          </w:divBdr>
        </w:div>
        <w:div w:id="1464154315">
          <w:marLeft w:val="0"/>
          <w:marRight w:val="0"/>
          <w:marTop w:val="0"/>
          <w:marBottom w:val="0"/>
          <w:divBdr>
            <w:top w:val="none" w:sz="0" w:space="0" w:color="auto"/>
            <w:left w:val="none" w:sz="0" w:space="0" w:color="auto"/>
            <w:bottom w:val="none" w:sz="0" w:space="0" w:color="auto"/>
            <w:right w:val="none" w:sz="0" w:space="0" w:color="auto"/>
          </w:divBdr>
        </w:div>
        <w:div w:id="1343817895">
          <w:marLeft w:val="0"/>
          <w:marRight w:val="0"/>
          <w:marTop w:val="0"/>
          <w:marBottom w:val="0"/>
          <w:divBdr>
            <w:top w:val="none" w:sz="0" w:space="0" w:color="auto"/>
            <w:left w:val="none" w:sz="0" w:space="0" w:color="auto"/>
            <w:bottom w:val="none" w:sz="0" w:space="0" w:color="auto"/>
            <w:right w:val="none" w:sz="0" w:space="0" w:color="auto"/>
          </w:divBdr>
        </w:div>
        <w:div w:id="1770006413">
          <w:marLeft w:val="0"/>
          <w:marRight w:val="0"/>
          <w:marTop w:val="0"/>
          <w:marBottom w:val="0"/>
          <w:divBdr>
            <w:top w:val="none" w:sz="0" w:space="0" w:color="auto"/>
            <w:left w:val="none" w:sz="0" w:space="0" w:color="auto"/>
            <w:bottom w:val="none" w:sz="0" w:space="0" w:color="auto"/>
            <w:right w:val="none" w:sz="0" w:space="0" w:color="auto"/>
          </w:divBdr>
        </w:div>
        <w:div w:id="1608854648">
          <w:marLeft w:val="0"/>
          <w:marRight w:val="0"/>
          <w:marTop w:val="0"/>
          <w:marBottom w:val="0"/>
          <w:divBdr>
            <w:top w:val="none" w:sz="0" w:space="0" w:color="auto"/>
            <w:left w:val="none" w:sz="0" w:space="0" w:color="auto"/>
            <w:bottom w:val="none" w:sz="0" w:space="0" w:color="auto"/>
            <w:right w:val="none" w:sz="0" w:space="0" w:color="auto"/>
          </w:divBdr>
        </w:div>
        <w:div w:id="160513302">
          <w:marLeft w:val="0"/>
          <w:marRight w:val="0"/>
          <w:marTop w:val="0"/>
          <w:marBottom w:val="0"/>
          <w:divBdr>
            <w:top w:val="none" w:sz="0" w:space="0" w:color="auto"/>
            <w:left w:val="none" w:sz="0" w:space="0" w:color="auto"/>
            <w:bottom w:val="none" w:sz="0" w:space="0" w:color="auto"/>
            <w:right w:val="none" w:sz="0" w:space="0" w:color="auto"/>
          </w:divBdr>
        </w:div>
      </w:divsChild>
    </w:div>
    <w:div w:id="21455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shoustonhumanities.net/economics-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British International School of Houston</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Finch</dc:creator>
  <cp:keywords/>
  <dc:description/>
  <cp:lastModifiedBy>Microsoft Office User</cp:lastModifiedBy>
  <cp:revision>2</cp:revision>
  <cp:lastPrinted>2016-06-29T16:47:00Z</cp:lastPrinted>
  <dcterms:created xsi:type="dcterms:W3CDTF">2018-06-19T19:33:00Z</dcterms:created>
  <dcterms:modified xsi:type="dcterms:W3CDTF">2018-06-19T19:33:00Z</dcterms:modified>
</cp:coreProperties>
</file>