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3"/>
        <w:keepNext w:val="0"/>
        <w:keepLines w:val="0"/>
        <w:shd w:fill="ffffff" w:val="clear"/>
        <w:spacing w:after="0" w:before="0" w:line="264" w:lineRule="auto"/>
        <w:contextualSpacing w:val="0"/>
        <w:jc w:val="center"/>
        <w:rPr>
          <w:rFonts w:ascii="Open Sans" w:cs="Open Sans" w:eastAsia="Open Sans" w:hAnsi="Open Sans"/>
          <w:b w:val="1"/>
          <w:color w:val="292929"/>
        </w:rPr>
      </w:pPr>
      <w:bookmarkStart w:colFirst="0" w:colLast="0" w:name="_razzaieasnf2" w:id="0"/>
      <w:bookmarkEnd w:id="0"/>
      <w:r w:rsidDel="00000000" w:rsidR="00000000" w:rsidRPr="00000000">
        <w:rPr>
          <w:rFonts w:ascii="Open Sans" w:cs="Open Sans" w:eastAsia="Open Sans" w:hAnsi="Open Sans"/>
          <w:b w:val="1"/>
          <w:color w:val="292929"/>
          <w:rtl w:val="0"/>
        </w:rPr>
        <w:t xml:space="preserve">Unit 3: Global resource consumption and security</w:t>
      </w:r>
    </w:p>
    <w:p w:rsidR="00000000" w:rsidDel="00000000" w:rsidP="00000000" w:rsidRDefault="00000000" w:rsidRPr="00000000" w14:paraId="00000001">
      <w:pPr>
        <w:contextualSpacing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-4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95"/>
        <w:gridCol w:w="8490"/>
        <w:tblGridChange w:id="0">
          <w:tblGrid>
            <w:gridCol w:w="2295"/>
            <w:gridCol w:w="8490"/>
          </w:tblGrid>
        </w:tblGridChange>
      </w:tblGrid>
      <w:tr>
        <w:trPr>
          <w:trHeight w:val="480" w:hRule="atLeast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ececec" w:val="clear"/>
            <w:tcMar>
              <w:top w:w="120.0" w:type="dxa"/>
              <w:left w:w="40.0" w:type="dxa"/>
              <w:bottom w:w="1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b w:val="1"/>
                <w:color w:val="292929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666666"/>
                <w:rtl w:val="0"/>
              </w:rPr>
              <w:t xml:space="preserve">Geographic inquiry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ececec" w:val="clear"/>
            <w:tcMar>
              <w:top w:w="120.0" w:type="dxa"/>
              <w:left w:w="40.0" w:type="dxa"/>
              <w:bottom w:w="1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b w:val="1"/>
                <w:color w:val="292929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666666"/>
                <w:rtl w:val="0"/>
              </w:rPr>
              <w:t xml:space="preserve">Geographic knowledge and understanding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120.0" w:type="dxa"/>
              <w:left w:w="40.0" w:type="dxa"/>
              <w:bottom w:w="1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b w:val="1"/>
                <w:color w:val="292929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92929"/>
                <w:rtl w:val="0"/>
              </w:rPr>
              <w:t xml:space="preserve">1. Global trends in consumption</w:t>
            </w:r>
          </w:p>
        </w:tc>
      </w:tr>
      <w:tr>
        <w:trPr>
          <w:trHeight w:val="3560" w:hRule="atLeast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auto" w:val="clear"/>
            <w:tcMar>
              <w:top w:w="120.0" w:type="dxa"/>
              <w:left w:w="40.0" w:type="dxa"/>
              <w:bottom w:w="1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b w:val="1"/>
                <w:color w:val="292929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92929"/>
                <w:rtl w:val="0"/>
              </w:rPr>
              <w:t xml:space="preserve">How global development processes affect resource availability and consumption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auto" w:val="clear"/>
            <w:tcMar>
              <w:top w:w="120.0" w:type="dxa"/>
              <w:left w:w="40.0" w:type="dxa"/>
              <w:bottom w:w="1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color w:val="ff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Global and regional/continental progress towards poverty reduction, including the growth of the “new global middle class”</w:t>
            </w:r>
            <w:r w:rsidDel="00000000" w:rsidR="00000000" w:rsidRPr="00000000">
              <w:rPr>
                <w:rFonts w:ascii="Open Sans" w:cs="Open Sans" w:eastAsia="Open Sans" w:hAnsi="Open Sans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color w:val="292929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Measuring trends in resource consumption, including individual, national and global ecological footprints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color w:val="292929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An overview of global patterns and trends in the availability and consumption of: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water, including embedded water in food and manufactured goods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land/food, including changing diets in middle-income countries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energy, including the relative and changing importance of hydrocarbons, nuclear power, renewables, new sources of modern energy.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b w:val="1"/>
                <w:color w:val="292929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92929"/>
                <w:rtl w:val="0"/>
              </w:rPr>
              <w:t xml:space="preserve">Synthesis, evaluation and skills opportunities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color w:val="292929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How different patterns and trends are interrelated and involve spatial interactions between different places</w:t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auto" w:val="clear"/>
            <w:tcMar>
              <w:top w:w="120.0" w:type="dxa"/>
              <w:left w:w="40.0" w:type="dxa"/>
              <w:bottom w:w="1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b w:val="1"/>
                <w:color w:val="292929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92929"/>
                <w:rtl w:val="0"/>
              </w:rPr>
              <w:t xml:space="preserve">2. Impacts of changing trends in resource consumption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color w:val="29292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0" w:hRule="atLeast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auto" w:val="clear"/>
            <w:tcMar>
              <w:top w:w="120.0" w:type="dxa"/>
              <w:left w:w="40.0" w:type="dxa"/>
              <w:bottom w:w="1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b w:val="1"/>
                <w:color w:val="292929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92929"/>
                <w:rtl w:val="0"/>
              </w:rPr>
              <w:t xml:space="preserve">How pressure on resources affects the future security of places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auto" w:val="clear"/>
            <w:tcMar>
              <w:top w:w="120.0" w:type="dxa"/>
              <w:left w:w="40.0" w:type="dxa"/>
              <w:bottom w:w="1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color w:val="292929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The water–food–energy “nexus” and how its complex interactions affect: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national water security, including access to safe water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national food security, including food availability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national energy security, including energy pathways and geopolitical issues. 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color w:val="292929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The implications of global climate change for the water–food–energy nexus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292929"/>
                <w:rtl w:val="0"/>
              </w:rPr>
              <w:t xml:space="preserve">Detailed examples of two countries with contrasting levels of resource security.</w:t>
            </w:r>
            <w:r w:rsidDel="00000000" w:rsidR="00000000" w:rsidRPr="00000000">
              <w:rPr>
                <w:rFonts w:ascii="Open Sans" w:cs="Open Sans" w:eastAsia="Open Sans" w:hAnsi="Open Sans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color w:val="ff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The disposal and recycling of consumer items, including international flows of waste.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b w:val="1"/>
                <w:color w:val="292929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92929"/>
                <w:rtl w:val="0"/>
              </w:rPr>
              <w:t xml:space="preserve">Synthesis, evaluation and skills opportunities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color w:val="292929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How perspectives on, and priorities for, national resource security vary between places and at different scales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auto" w:val="clear"/>
            <w:tcMar>
              <w:top w:w="120.0" w:type="dxa"/>
              <w:left w:w="40.0" w:type="dxa"/>
              <w:bottom w:w="1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b w:val="1"/>
                <w:color w:val="292929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92929"/>
                <w:rtl w:val="0"/>
              </w:rPr>
              <w:t xml:space="preserve">3. Resource stewardship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color w:val="29292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0" w:hRule="atLeast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auto" w:val="clear"/>
            <w:tcMar>
              <w:top w:w="120.0" w:type="dxa"/>
              <w:left w:w="40.0" w:type="dxa"/>
              <w:bottom w:w="1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b w:val="1"/>
                <w:color w:val="292929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92929"/>
                <w:rtl w:val="0"/>
              </w:rPr>
              <w:t xml:space="preserve">Possibilities for managing resources sustainably and power over the decision-making process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auto" w:val="clear"/>
            <w:tcMar>
              <w:top w:w="120.0" w:type="dxa"/>
              <w:left w:w="40.0" w:type="dxa"/>
              <w:bottom w:w="1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color w:val="292929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Divergent thinking about population and resource consumption trends: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pessimistic views, including neo-Malthusian views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optimistic views, including Boserup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balanced views, including resource stewardship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color w:val="292929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Resource stewardship strategies, including: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the value of the circular economy as a systems approach for effective cycling of materials and energy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the role of the UN Sustainable Development Goals and progress made toward meeting them</w:t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b w:val="1"/>
                <w:color w:val="292929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92929"/>
                <w:rtl w:val="0"/>
              </w:rPr>
              <w:t xml:space="preserve">Synthesis, evaluation and skills opportunities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contextualSpacing w:val="0"/>
              <w:rPr>
                <w:rFonts w:ascii="Open Sans" w:cs="Open Sans" w:eastAsia="Open Sans" w:hAnsi="Open Sans"/>
                <w:color w:val="292929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92929"/>
                <w:rtl w:val="0"/>
              </w:rPr>
              <w:t xml:space="preserve">Different perspectives on global resource use and the likely effectiveness of management actions at varying scales</w:t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contextualSpacing w:val="0"/>
        <w:jc w:val="left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Key terms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2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6810"/>
        <w:tblGridChange w:id="0">
          <w:tblGrid>
            <w:gridCol w:w="3210"/>
            <w:gridCol w:w="6810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Anti-Malthusian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Biocapacity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Carbon footprint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Carrying capacity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Circular economy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Ecological footprint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Economic Water Scarcity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Energy Pathways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Energy security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color w:val="226644"/>
                <w:sz w:val="24"/>
                <w:szCs w:val="24"/>
                <w:shd w:fill="eef5e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Geopolitical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Global hectares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Neo-Malthusian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Physical Water Scarcity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Renewable energy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Resource security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Resource stewardship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Sustainability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Sustainable Development Goals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Virtual Water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Water consumption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Water withdrawal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Water-food-energy nexus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contextualSpacing w:val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iryo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contextualSpacing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Meiryo" w:cs="Meiryo" w:eastAsia="Meiryo" w:hAnsi="Meiryo"/>
        <w:color w:val="2929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Meiryo" w:cs="Meiryo" w:eastAsia="Meiryo" w:hAnsi="Meiryo"/>
        <w:color w:val="2929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Meiryo" w:cs="Meiryo" w:eastAsia="Meiryo" w:hAnsi="Meiryo"/>
        <w:color w:val="2929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Meiryo" w:cs="Meiryo" w:eastAsia="Meiryo" w:hAnsi="Meiryo"/>
        <w:color w:val="2929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Meiryo" w:cs="Meiryo" w:eastAsia="Meiryo" w:hAnsi="Meiryo"/>
        <w:color w:val="2929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