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041A" w:rsidR="0016041A" w:rsidP="0016041A" w:rsidRDefault="0016041A" w14:paraId="46964672" w14:textId="5CDC860E">
      <w:pPr>
        <w:textAlignment w:val="baseline"/>
        <w:rPr>
          <w:rFonts w:ascii="Arial" w:hAnsi="Arial" w:cs="Arial"/>
          <w:sz w:val="18"/>
          <w:szCs w:val="18"/>
        </w:rPr>
      </w:pPr>
      <w:r w:rsidRPr="0016041A">
        <w:rPr>
          <w:rFonts w:ascii="Calibri" w:hAnsi="Calibri" w:cs="Arial"/>
          <w:b/>
          <w:bCs/>
          <w:sz w:val="32"/>
          <w:szCs w:val="32"/>
          <w:u w:val="single"/>
        </w:rPr>
        <w:t>Subject / Year Group:</w:t>
      </w:r>
      <w:r w:rsidR="002A4581">
        <w:rPr>
          <w:rFonts w:ascii="Calibri" w:hAnsi="Calibri" w:cs="Arial"/>
          <w:b/>
          <w:bCs/>
          <w:sz w:val="32"/>
          <w:szCs w:val="32"/>
          <w:u w:val="single"/>
        </w:rPr>
        <w:tab/>
      </w:r>
      <w:r w:rsidR="002A4581">
        <w:rPr>
          <w:rFonts w:ascii="Calibri" w:hAnsi="Calibri" w:cs="Arial"/>
          <w:b/>
          <w:bCs/>
          <w:sz w:val="32"/>
          <w:szCs w:val="32"/>
          <w:u w:val="single"/>
        </w:rPr>
        <w:t>History Year 9</w:t>
      </w:r>
      <w:r>
        <w:rPr>
          <w:rFonts w:ascii="Calibri" w:hAnsi="Calibri" w:cs="Arial"/>
          <w:b/>
          <w:bCs/>
          <w:sz w:val="32"/>
          <w:szCs w:val="32"/>
          <w:u w:val="single"/>
        </w:rPr>
        <w:tab/>
      </w:r>
      <w:r>
        <w:rPr>
          <w:rFonts w:ascii="Calibri" w:hAnsi="Calibri" w:cs="Arial"/>
          <w:b/>
          <w:bCs/>
          <w:sz w:val="32"/>
          <w:szCs w:val="32"/>
          <w:u w:val="single"/>
        </w:rPr>
        <w:tab/>
      </w:r>
      <w:r w:rsidRPr="0016041A">
        <w:rPr>
          <w:rFonts w:ascii="Calibri" w:hAnsi="Calibri" w:cs="Arial"/>
          <w:b/>
          <w:bCs/>
          <w:sz w:val="32"/>
          <w:szCs w:val="32"/>
          <w:u w:val="single"/>
        </w:rPr>
        <w:t>Unit Number:</w:t>
      </w:r>
      <w:r w:rsidRPr="0016041A">
        <w:rPr>
          <w:rFonts w:ascii="Calibri" w:hAnsi="Calibri" w:cs="Arial"/>
          <w:b/>
          <w:bCs/>
          <w:sz w:val="32"/>
          <w:szCs w:val="32"/>
        </w:rPr>
        <w:t> </w:t>
      </w:r>
      <w:r w:rsidRPr="0016041A">
        <w:rPr>
          <w:rFonts w:ascii="Calibri" w:hAnsi="Calibri" w:cs="Arial"/>
          <w:sz w:val="32"/>
          <w:szCs w:val="32"/>
        </w:rPr>
        <w:t> </w:t>
      </w:r>
      <w:r>
        <w:rPr>
          <w:rFonts w:ascii="Calibri" w:hAnsi="Calibri" w:cs="Arial"/>
          <w:sz w:val="32"/>
          <w:szCs w:val="32"/>
        </w:rPr>
        <w:t>1</w:t>
      </w:r>
    </w:p>
    <w:p w:rsidR="0001000F" w:rsidP="0016041A" w:rsidRDefault="0016041A" w14:paraId="5AB3B57E" w14:textId="5E001515">
      <w:pPr>
        <w:textAlignment w:val="baseline"/>
        <w:rPr>
          <w:rFonts w:ascii="Calibri" w:hAnsi="Calibri" w:cs="Arial"/>
          <w:b/>
          <w:bCs/>
          <w:sz w:val="32"/>
          <w:szCs w:val="32"/>
          <w:u w:val="single"/>
        </w:rPr>
      </w:pPr>
      <w:r w:rsidRPr="0016041A">
        <w:rPr>
          <w:rFonts w:ascii="Calibri" w:hAnsi="Calibri" w:cs="Arial"/>
          <w:b/>
          <w:bCs/>
          <w:sz w:val="32"/>
          <w:szCs w:val="32"/>
          <w:u w:val="single"/>
        </w:rPr>
        <w:t>Title:</w:t>
      </w:r>
      <w:r w:rsidR="0001000F">
        <w:rPr>
          <w:rFonts w:ascii="Calibri" w:hAnsi="Calibri" w:cs="Arial"/>
          <w:b/>
          <w:bCs/>
          <w:sz w:val="32"/>
          <w:szCs w:val="32"/>
          <w:u w:val="single"/>
        </w:rPr>
        <w:tab/>
      </w:r>
      <w:r w:rsidR="0001000F">
        <w:rPr>
          <w:rFonts w:ascii="Calibri" w:hAnsi="Calibri" w:cs="Arial"/>
          <w:b/>
          <w:bCs/>
          <w:sz w:val="32"/>
          <w:szCs w:val="32"/>
          <w:u w:val="single"/>
        </w:rPr>
        <w:t>Introduction to Expansion and Interconnection: East Meets West</w:t>
      </w:r>
    </w:p>
    <w:p w:rsidRPr="0001000F" w:rsidR="0016041A" w:rsidP="0016041A" w:rsidRDefault="0016041A" w14:paraId="0E196BDE" w14:textId="43BE9E7C">
      <w:pPr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01000F">
        <w:rPr>
          <w:rFonts w:ascii="Calibri" w:hAnsi="Calibri" w:cs="Arial"/>
          <w:b/>
          <w:bCs/>
          <w:sz w:val="32"/>
          <w:szCs w:val="32"/>
          <w:u w:val="single"/>
        </w:rPr>
        <w:t>Length of Unit:</w:t>
      </w:r>
      <w:r w:rsidRPr="0001000F" w:rsidR="0001000F">
        <w:rPr>
          <w:rFonts w:ascii="Calibri" w:hAnsi="Calibri" w:cs="Arial"/>
          <w:b/>
          <w:sz w:val="32"/>
          <w:szCs w:val="32"/>
          <w:u w:val="single"/>
        </w:rPr>
        <w:t xml:space="preserve"> </w:t>
      </w:r>
      <w:r w:rsidRPr="0001000F" w:rsidR="0052019D">
        <w:rPr>
          <w:rFonts w:ascii="Calibri" w:hAnsi="Calibri" w:cs="Arial"/>
          <w:b/>
          <w:sz w:val="32"/>
          <w:szCs w:val="32"/>
          <w:u w:val="single"/>
        </w:rPr>
        <w:t xml:space="preserve"> </w:t>
      </w:r>
      <w:r w:rsidR="00F044BB">
        <w:rPr>
          <w:rFonts w:ascii="Calibri" w:hAnsi="Calibri" w:cs="Arial"/>
          <w:b/>
          <w:sz w:val="32"/>
          <w:szCs w:val="32"/>
          <w:u w:val="single"/>
        </w:rPr>
        <w:t>10</w:t>
      </w:r>
      <w:r w:rsidRPr="0001000F" w:rsidR="0001000F">
        <w:rPr>
          <w:rFonts w:ascii="Calibri" w:hAnsi="Calibri" w:cs="Arial"/>
          <w:b/>
          <w:sz w:val="32"/>
          <w:szCs w:val="32"/>
          <w:u w:val="single"/>
        </w:rPr>
        <w:t xml:space="preserve"> Weeks</w:t>
      </w:r>
    </w:p>
    <w:tbl>
      <w:tblPr>
        <w:tblW w:w="98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8509"/>
      </w:tblGrid>
      <w:tr w:rsidRPr="0016041A" w:rsidR="0016041A" w:rsidTr="27C04D91" w14:paraId="79B96A96" w14:textId="77777777">
        <w:tc>
          <w:tcPr>
            <w:tcW w:w="9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0CDD7"/>
            <w:tcMar/>
            <w:hideMark/>
          </w:tcPr>
          <w:p w:rsidRPr="0016041A" w:rsidR="0016041A" w:rsidP="0016041A" w:rsidRDefault="0016041A" w14:paraId="004BDF12" w14:textId="77777777">
            <w:pPr>
              <w:spacing w:beforeAutospacing="1" w:afterAutospacing="1"/>
              <w:jc w:val="center"/>
              <w:textAlignment w:val="baseline"/>
              <w:divId w:val="1485317606"/>
              <w:rPr>
                <w:rFonts w:ascii="Times New Roman" w:hAnsi="Times New Roman" w:cs="Times New Roman"/>
              </w:rPr>
            </w:pPr>
            <w:r w:rsidRPr="0016041A">
              <w:rPr>
                <w:rFonts w:ascii="Calibri" w:hAnsi="Calibri" w:cs="Times New Roman"/>
                <w:b/>
                <w:bCs/>
                <w:sz w:val="32"/>
                <w:szCs w:val="32"/>
              </w:rPr>
              <w:t>Summary of Unit</w:t>
            </w:r>
            <w:r w:rsidRPr="0016041A">
              <w:rPr>
                <w:rFonts w:ascii="Calibri" w:hAnsi="Calibri" w:cs="Times New Roman"/>
                <w:sz w:val="32"/>
                <w:szCs w:val="32"/>
              </w:rPr>
              <w:t> </w:t>
            </w:r>
          </w:p>
        </w:tc>
      </w:tr>
      <w:tr w:rsidRPr="0016041A" w:rsidR="0016041A" w:rsidTr="27C04D91" w14:paraId="44B2B32E" w14:textId="77777777">
        <w:trPr>
          <w:trHeight w:val="2460"/>
        </w:trPr>
        <w:tc>
          <w:tcPr>
            <w:tcW w:w="9892" w:type="dxa"/>
            <w:gridSpan w:val="2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041A" w:rsidR="0016041A" w:rsidP="0016041A" w:rsidRDefault="0001000F" w14:paraId="593AED69" w14:textId="05EBB8D8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 xml:space="preserve">We are living in a world of increasing interconnectedness. Politically, culturally, socially and economically the world is becoming a smaller </w:t>
            </w:r>
            <w:r w:rsidR="005938A3">
              <w:rPr>
                <w:rFonts w:ascii="Source Sans Pro" w:hAnsi="Source Sans Pro" w:cs="Times New Roman"/>
              </w:rPr>
              <w:t xml:space="preserve">and more interconnected </w:t>
            </w:r>
            <w:r>
              <w:rPr>
                <w:rFonts w:ascii="Source Sans Pro" w:hAnsi="Source Sans Pro" w:cs="Times New Roman"/>
              </w:rPr>
              <w:t>place. The big story this year is that growing interconnectedness between humans brings both advantages and disadvantages</w:t>
            </w:r>
            <w:r w:rsidR="000D7CE9">
              <w:rPr>
                <w:rFonts w:ascii="Source Sans Pro" w:hAnsi="Source Sans Pro" w:cs="Times New Roman"/>
              </w:rPr>
              <w:t>, benefits and costs</w:t>
            </w:r>
            <w:r w:rsidR="00F044BB">
              <w:rPr>
                <w:rFonts w:ascii="Source Sans Pro" w:hAnsi="Source Sans Pro" w:cs="Times New Roman"/>
              </w:rPr>
              <w:t>,</w:t>
            </w:r>
            <w:r w:rsidR="005938A3">
              <w:rPr>
                <w:rFonts w:ascii="Source Sans Pro" w:hAnsi="Source Sans Pro" w:cs="Times New Roman"/>
              </w:rPr>
              <w:t xml:space="preserve"> opportunities and challenges and with growing complexity comes increasing fragility. S</w:t>
            </w:r>
            <w:r w:rsidR="00C20C88">
              <w:rPr>
                <w:rFonts w:ascii="Source Sans Pro" w:hAnsi="Source Sans Pro" w:cs="Times New Roman"/>
              </w:rPr>
              <w:t>tudents will consider this during the first unit by a consideration of the political, social and economic relationships between the East and West</w:t>
            </w:r>
            <w:r w:rsidR="005938A3">
              <w:rPr>
                <w:rFonts w:ascii="Source Sans Pro" w:hAnsi="Source Sans Pro" w:cs="Times New Roman"/>
              </w:rPr>
              <w:t xml:space="preserve"> during the period </w:t>
            </w:r>
            <w:r w:rsidR="00C20C88">
              <w:rPr>
                <w:rFonts w:ascii="Source Sans Pro" w:hAnsi="Source Sans Pro" w:cs="Times New Roman"/>
              </w:rPr>
              <w:t xml:space="preserve">250AD – 1250AD. Students will consider </w:t>
            </w:r>
            <w:r w:rsidR="00B33D81">
              <w:rPr>
                <w:rFonts w:ascii="Source Sans Pro" w:hAnsi="Source Sans Pro" w:cs="Times New Roman"/>
              </w:rPr>
              <w:t>the growth and fragility of interconnect</w:t>
            </w:r>
            <w:r w:rsidR="00BB057F">
              <w:rPr>
                <w:rFonts w:ascii="Source Sans Pro" w:hAnsi="Source Sans Pro" w:cs="Times New Roman"/>
              </w:rPr>
              <w:t>edness in the Roman Empire followed by a study of the Silk Road as a catalyst for economic interconnectedness</w:t>
            </w:r>
            <w:r w:rsidR="00547301">
              <w:rPr>
                <w:rFonts w:ascii="Source Sans Pro" w:hAnsi="Source Sans Pro" w:cs="Times New Roman"/>
              </w:rPr>
              <w:t xml:space="preserve"> through trade</w:t>
            </w:r>
            <w:r w:rsidR="00BB057F">
              <w:rPr>
                <w:rFonts w:ascii="Source Sans Pro" w:hAnsi="Source Sans Pro" w:cs="Times New Roman"/>
              </w:rPr>
              <w:t xml:space="preserve">. Students will </w:t>
            </w:r>
            <w:r w:rsidR="008F18BC">
              <w:rPr>
                <w:rFonts w:ascii="Source Sans Pro" w:hAnsi="Source Sans Pro" w:cs="Times New Roman"/>
              </w:rPr>
              <w:t>discover how individuals have played a significant role through case studies on the rise of Islam and through consideration o</w:t>
            </w:r>
            <w:r w:rsidR="00190252">
              <w:rPr>
                <w:rFonts w:ascii="Source Sans Pro" w:hAnsi="Source Sans Pro" w:cs="Times New Roman"/>
              </w:rPr>
              <w:t xml:space="preserve">f </w:t>
            </w:r>
            <w:proofErr w:type="spellStart"/>
            <w:r w:rsidR="00190252">
              <w:rPr>
                <w:rFonts w:ascii="Source Sans Pro" w:hAnsi="Source Sans Pro" w:cs="Times New Roman"/>
              </w:rPr>
              <w:t>Ghenghis</w:t>
            </w:r>
            <w:proofErr w:type="spellEnd"/>
            <w:r w:rsidR="00190252">
              <w:rPr>
                <w:rFonts w:ascii="Source Sans Pro" w:hAnsi="Source Sans Pro" w:cs="Times New Roman"/>
              </w:rPr>
              <w:t xml:space="preserve"> Khan’s Mongol Empire. T</w:t>
            </w:r>
            <w:r w:rsidR="00E1447E">
              <w:rPr>
                <w:rFonts w:ascii="Source Sans Pro" w:hAnsi="Source Sans Pro" w:cs="Times New Roman"/>
              </w:rPr>
              <w:t>he role of religion</w:t>
            </w:r>
            <w:r w:rsidR="008F18BC">
              <w:rPr>
                <w:rFonts w:ascii="Source Sans Pro" w:hAnsi="Source Sans Pro" w:cs="Times New Roman"/>
              </w:rPr>
              <w:t xml:space="preserve"> </w:t>
            </w:r>
            <w:r w:rsidR="00E1447E">
              <w:rPr>
                <w:rFonts w:ascii="Source Sans Pro" w:hAnsi="Source Sans Pro" w:cs="Times New Roman"/>
              </w:rPr>
              <w:t xml:space="preserve">is </w:t>
            </w:r>
            <w:r w:rsidR="008F18BC">
              <w:rPr>
                <w:rFonts w:ascii="Source Sans Pro" w:hAnsi="Source Sans Pro" w:cs="Times New Roman"/>
              </w:rPr>
              <w:t>exp</w:t>
            </w:r>
            <w:r w:rsidR="00DB5006">
              <w:rPr>
                <w:rFonts w:ascii="Source Sans Pro" w:hAnsi="Source Sans Pro" w:cs="Times New Roman"/>
              </w:rPr>
              <w:t>lored by a study of the</w:t>
            </w:r>
            <w:r w:rsidR="00190252">
              <w:rPr>
                <w:rFonts w:ascii="Source Sans Pro" w:hAnsi="Source Sans Pro" w:cs="Times New Roman"/>
              </w:rPr>
              <w:t xml:space="preserve"> Middle-East during the period of the</w:t>
            </w:r>
            <w:bookmarkStart w:name="_GoBack" w:id="0"/>
            <w:bookmarkEnd w:id="0"/>
            <w:r w:rsidR="00DB5006">
              <w:rPr>
                <w:rFonts w:ascii="Source Sans Pro" w:hAnsi="Source Sans Pro" w:cs="Times New Roman"/>
              </w:rPr>
              <w:t xml:space="preserve"> Crusade invasions</w:t>
            </w:r>
            <w:r w:rsidR="008F18BC">
              <w:rPr>
                <w:rFonts w:ascii="Source Sans Pro" w:hAnsi="Source Sans Pro" w:cs="Times New Roman"/>
              </w:rPr>
              <w:t xml:space="preserve">. </w:t>
            </w:r>
          </w:p>
        </w:tc>
      </w:tr>
      <w:tr w:rsidRPr="0016041A" w:rsidR="0016041A" w:rsidTr="27C04D91" w14:paraId="4ABB269C" w14:textId="77777777">
        <w:trPr>
          <w:trHeight w:val="336"/>
        </w:trPr>
        <w:tc>
          <w:tcPr>
            <w:tcW w:w="98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16041A" w:rsidR="0016041A" w:rsidP="0016041A" w:rsidRDefault="0016041A" w14:paraId="1690C3FB" w14:textId="77777777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</w:p>
        </w:tc>
      </w:tr>
      <w:tr w:rsidRPr="0016041A" w:rsidR="0016041A" w:rsidTr="27C04D91" w14:paraId="0B4BAB19" w14:textId="77777777">
        <w:tc>
          <w:tcPr>
            <w:tcW w:w="9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0CDD7"/>
            <w:tcMar/>
            <w:hideMark/>
          </w:tcPr>
          <w:p w:rsidRPr="0016041A" w:rsidR="0016041A" w:rsidP="0016041A" w:rsidRDefault="0016041A" w14:paraId="08C511E1" w14:textId="77777777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  <w:b/>
                <w:bCs/>
              </w:rPr>
              <w:t>How will progress be measured?</w:t>
            </w:r>
            <w:r w:rsidRPr="008C5D0D">
              <w:rPr>
                <w:rFonts w:ascii="Source Sans Pro" w:hAnsi="Source Sans Pro" w:cs="Times New Roman"/>
              </w:rPr>
              <w:t> </w:t>
            </w:r>
          </w:p>
        </w:tc>
      </w:tr>
      <w:tr w:rsidRPr="0016041A" w:rsidR="0016041A" w:rsidTr="27C04D91" w14:paraId="66061FD8" w14:textId="77777777">
        <w:trPr>
          <w:trHeight w:val="885"/>
        </w:trPr>
        <w:tc>
          <w:tcPr>
            <w:tcW w:w="1383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0CDD7"/>
            <w:tcMar/>
            <w:vAlign w:val="center"/>
            <w:hideMark/>
          </w:tcPr>
          <w:p w:rsidRPr="0016041A" w:rsidR="0016041A" w:rsidP="0016041A" w:rsidRDefault="0016041A" w14:paraId="70EFA70F" w14:textId="77777777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Diagnostic Assessment: </w:t>
            </w:r>
          </w:p>
        </w:tc>
        <w:tc>
          <w:tcPr>
            <w:tcW w:w="850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041A" w:rsidR="0016041A" w:rsidP="0080750F" w:rsidRDefault="0016041A" w14:paraId="34E8E781" w14:textId="53A4D198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  <w:r w:rsidRPr="008C5D0D" w:rsidR="0052019D">
              <w:rPr>
                <w:rFonts w:ascii="Source Sans Pro" w:hAnsi="Source Sans Pro" w:cs="Times New Roman"/>
              </w:rPr>
              <w:t xml:space="preserve">A short diagnostic multiple-choice test will be taken by students by the end of the first lesson. Covering </w:t>
            </w:r>
            <w:r w:rsidR="005938A3">
              <w:rPr>
                <w:rFonts w:ascii="Source Sans Pro" w:hAnsi="Source Sans Pro" w:cs="Times New Roman"/>
              </w:rPr>
              <w:t xml:space="preserve">knowledge </w:t>
            </w:r>
            <w:r w:rsidR="00DB5006">
              <w:rPr>
                <w:rFonts w:ascii="Source Sans Pro" w:hAnsi="Source Sans Pro" w:cs="Times New Roman"/>
              </w:rPr>
              <w:t xml:space="preserve">drawn from the Year 8 BISH curriculum and </w:t>
            </w:r>
            <w:r w:rsidR="005938A3">
              <w:rPr>
                <w:rFonts w:ascii="Source Sans Pro" w:hAnsi="Source Sans Pro" w:cs="Times New Roman"/>
              </w:rPr>
              <w:t>the English National Curriculum.</w:t>
            </w:r>
          </w:p>
        </w:tc>
      </w:tr>
      <w:tr w:rsidRPr="0016041A" w:rsidR="0016041A" w:rsidTr="27C04D91" w14:paraId="462E0CBE" w14:textId="77777777">
        <w:trPr>
          <w:trHeight w:val="75"/>
        </w:trPr>
        <w:tc>
          <w:tcPr>
            <w:tcW w:w="1383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0CDD7"/>
            <w:tcMar/>
            <w:vAlign w:val="center"/>
            <w:hideMark/>
          </w:tcPr>
          <w:p w:rsidRPr="0016041A" w:rsidR="0016041A" w:rsidP="0016041A" w:rsidRDefault="0016041A" w14:paraId="14009576" w14:textId="77777777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Formative Assessment: </w:t>
            </w:r>
          </w:p>
        </w:tc>
        <w:tc>
          <w:tcPr>
            <w:tcW w:w="850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041A" w:rsidR="002E37BA" w:rsidP="0016041A" w:rsidRDefault="0016041A" w14:paraId="75728A3C" w14:textId="4E9AD8E7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  <w:r w:rsidRPr="008C5D0D" w:rsidR="002E37BA">
              <w:rPr>
                <w:rFonts w:ascii="Source Sans Pro" w:hAnsi="Source Sans Pro" w:cs="Times New Roman"/>
              </w:rPr>
              <w:t>Students</w:t>
            </w:r>
            <w:r w:rsidR="00617813">
              <w:rPr>
                <w:rFonts w:ascii="Source Sans Pro" w:hAnsi="Source Sans Pro" w:cs="Times New Roman"/>
              </w:rPr>
              <w:t xml:space="preserve"> key conceptual understanding is assessed</w:t>
            </w:r>
            <w:r w:rsidR="00DB5006">
              <w:rPr>
                <w:rFonts w:ascii="Source Sans Pro" w:hAnsi="Source Sans Pro" w:cs="Times New Roman"/>
              </w:rPr>
              <w:t xml:space="preserve"> ongoing through assessing a variety of class and home learning activities. As students understanding of the </w:t>
            </w:r>
            <w:r w:rsidR="00F044BB">
              <w:rPr>
                <w:rFonts w:ascii="Source Sans Pro" w:hAnsi="Source Sans Pro" w:cs="Times New Roman"/>
              </w:rPr>
              <w:t>big story develops they will note down key ideas in a planning sheet that will be utilized for writing the essay and advice and feedback will be given on the quality of the notation.</w:t>
            </w:r>
          </w:p>
        </w:tc>
      </w:tr>
      <w:tr w:rsidRPr="0016041A" w:rsidR="0016041A" w:rsidTr="27C04D91" w14:paraId="2B042B6C" w14:textId="77777777">
        <w:trPr>
          <w:trHeight w:val="75"/>
        </w:trPr>
        <w:tc>
          <w:tcPr>
            <w:tcW w:w="1383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0CDD7"/>
            <w:tcMar/>
            <w:vAlign w:val="center"/>
            <w:hideMark/>
          </w:tcPr>
          <w:p w:rsidRPr="0016041A" w:rsidR="0016041A" w:rsidP="0016041A" w:rsidRDefault="0016041A" w14:paraId="6FABB30E" w14:textId="77777777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Summative Assessment: </w:t>
            </w:r>
          </w:p>
        </w:tc>
        <w:tc>
          <w:tcPr>
            <w:tcW w:w="850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041A" w:rsidR="0016041A" w:rsidP="005C6EB2" w:rsidRDefault="0016041A" w14:paraId="29011EB7" w14:textId="1901A43B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  <w:r w:rsidR="008F18BC">
              <w:rPr>
                <w:rFonts w:ascii="Source Sans Pro" w:hAnsi="Source Sans Pro" w:cs="Times New Roman"/>
              </w:rPr>
              <w:t xml:space="preserve">Students will </w:t>
            </w:r>
            <w:r w:rsidR="005938A3">
              <w:rPr>
                <w:rFonts w:ascii="Source Sans Pro" w:hAnsi="Source Sans Pro" w:cs="Times New Roman"/>
              </w:rPr>
              <w:t>demonstrate their conceptual understanding of this study across time through a written essay titled: How beneficial was the relationship between East and West</w:t>
            </w:r>
            <w:r w:rsidR="00F044BB">
              <w:rPr>
                <w:rFonts w:ascii="Source Sans Pro" w:hAnsi="Source Sans Pro" w:cs="Times New Roman"/>
              </w:rPr>
              <w:t xml:space="preserve"> 250AD-1250AD</w:t>
            </w:r>
            <w:r w:rsidR="005938A3">
              <w:rPr>
                <w:rFonts w:ascii="Source Sans Pro" w:hAnsi="Source Sans Pro" w:cs="Times New Roman"/>
              </w:rPr>
              <w:t>?</w:t>
            </w:r>
          </w:p>
        </w:tc>
      </w:tr>
      <w:tr w:rsidRPr="0016041A" w:rsidR="0016041A" w:rsidTr="27C04D91" w14:paraId="30B4EC92" w14:textId="77777777">
        <w:trPr>
          <w:trHeight w:val="75"/>
        </w:trPr>
        <w:tc>
          <w:tcPr>
            <w:tcW w:w="9892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16041A" w:rsidR="0016041A" w:rsidP="0016041A" w:rsidRDefault="0016041A" w14:paraId="5A029903" w14:textId="77777777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</w:p>
        </w:tc>
      </w:tr>
      <w:tr w:rsidRPr="0016041A" w:rsidR="0016041A" w:rsidTr="27C04D91" w14:paraId="00476338" w14:textId="77777777">
        <w:tc>
          <w:tcPr>
            <w:tcW w:w="9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0CDD7"/>
            <w:tcMar/>
            <w:hideMark/>
          </w:tcPr>
          <w:p w:rsidRPr="0016041A" w:rsidR="0016041A" w:rsidP="0016041A" w:rsidRDefault="0016041A" w14:paraId="27E466C5" w14:textId="77777777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  <w:b/>
                <w:bCs/>
              </w:rPr>
              <w:t>Support Available</w:t>
            </w:r>
            <w:r w:rsidRPr="008C5D0D">
              <w:rPr>
                <w:rFonts w:ascii="Source Sans Pro" w:hAnsi="Source Sans Pro" w:cs="Times New Roman"/>
              </w:rPr>
              <w:t> </w:t>
            </w:r>
          </w:p>
        </w:tc>
      </w:tr>
      <w:tr w:rsidRPr="0016041A" w:rsidR="0016041A" w:rsidTr="27C04D91" w14:paraId="355EF597" w14:textId="77777777">
        <w:trPr>
          <w:trHeight w:val="750"/>
        </w:trPr>
        <w:tc>
          <w:tcPr>
            <w:tcW w:w="1383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0CDD7"/>
            <w:tcMar/>
            <w:vAlign w:val="center"/>
            <w:hideMark/>
          </w:tcPr>
          <w:p w:rsidRPr="0016041A" w:rsidR="0016041A" w:rsidP="0016041A" w:rsidRDefault="0016041A" w14:paraId="4DB6120A" w14:textId="77777777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Home Support: </w:t>
            </w:r>
          </w:p>
        </w:tc>
        <w:tc>
          <w:tcPr>
            <w:tcW w:w="850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041A" w:rsidR="0080750F" w:rsidP="0016041A" w:rsidRDefault="00617813" w14:paraId="71391170" w14:textId="098FF19B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617813">
              <w:rPr>
                <w:rFonts w:ascii="Source Sans Pro" w:hAnsi="Source Sans Pro" w:cs="Times New Roman"/>
              </w:rPr>
              <w:t>http://www.bishoustonhumanities.net/1-east-meets-west.html</w:t>
            </w:r>
          </w:p>
        </w:tc>
      </w:tr>
      <w:tr w:rsidRPr="0016041A" w:rsidR="0016041A" w:rsidTr="27C04D91" w14:paraId="55698DCD" w14:textId="77777777">
        <w:trPr>
          <w:trHeight w:val="75"/>
        </w:trPr>
        <w:tc>
          <w:tcPr>
            <w:tcW w:w="1383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0CDD7"/>
            <w:tcMar/>
            <w:vAlign w:val="center"/>
            <w:hideMark/>
          </w:tcPr>
          <w:p w:rsidRPr="0016041A" w:rsidR="0016041A" w:rsidP="0016041A" w:rsidRDefault="0016041A" w14:paraId="17007E18" w14:textId="77777777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</w:p>
          <w:p w:rsidRPr="0016041A" w:rsidR="0016041A" w:rsidP="0016041A" w:rsidRDefault="0016041A" w14:paraId="08F22933" w14:textId="77777777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Key Contacts: </w:t>
            </w:r>
          </w:p>
          <w:p w:rsidRPr="0016041A" w:rsidR="0016041A" w:rsidP="0016041A" w:rsidRDefault="0016041A" w14:paraId="4D235222" w14:textId="77777777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</w:p>
        </w:tc>
        <w:tc>
          <w:tcPr>
            <w:tcW w:w="850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008F18BC" w:rsidP="0016041A" w:rsidRDefault="008F18BC" w14:paraId="6BE154C6" w14:textId="77777777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Year 9 Teachers:</w:t>
            </w:r>
          </w:p>
          <w:p w:rsidR="0052019D" w:rsidP="27C04D91" w:rsidRDefault="0052019D" w14:paraId="0585CE17" w14:textId="0FAE7A7C">
            <w:pPr>
              <w:pStyle w:val="Normal"/>
              <w:spacing w:beforeAutospacing="on" w:afterAutospacing="on"/>
              <w:textAlignment w:val="baseline"/>
              <w:rPr>
                <w:rFonts w:ascii="Source Sans Pro" w:hAnsi="Source Sans Pro" w:cs="Times New Roman"/>
              </w:rPr>
            </w:pPr>
            <w:proofErr w:type="spellStart"/>
            <w:r w:rsidRPr="27C04D91" w:rsidR="27C04D91">
              <w:rPr>
                <w:rFonts w:ascii="Source Sans Pro" w:hAnsi="Source Sans Pro" w:cs="Times New Roman"/>
              </w:rPr>
              <w:t>Mrs</w:t>
            </w:r>
            <w:proofErr w:type="spellEnd"/>
            <w:r w:rsidRPr="27C04D91" w:rsidR="27C04D91">
              <w:rPr>
                <w:rFonts w:ascii="Source Sans Pro" w:hAnsi="Source Sans Pro" w:cs="Times New Roman"/>
              </w:rPr>
              <w:t xml:space="preserve"> Morgan – </w:t>
            </w:r>
            <w:proofErr w:type="spellStart"/>
            <w:r w:rsidRPr="27C04D91" w:rsidR="27C04D91">
              <w:rPr>
                <w:rFonts w:ascii="Source Sans Pro" w:hAnsi="Source Sans Pro" w:cs="Times New Roman"/>
              </w:rPr>
              <w:t>Mr</w:t>
            </w:r>
            <w:proofErr w:type="spellEnd"/>
            <w:r w:rsidRPr="27C04D91" w:rsidR="27C04D91">
              <w:rPr>
                <w:rFonts w:ascii="Source Sans Pro" w:hAnsi="Source Sans Pro" w:cs="Times New Roman"/>
              </w:rPr>
              <w:t xml:space="preserve"> Jones</w:t>
            </w:r>
            <w:r w:rsidRPr="27C04D91" w:rsidR="27C04D91">
              <w:rPr>
                <w:rFonts w:ascii="Source Sans Pro" w:hAnsi="Source Sans Pro" w:cs="Times New Roman"/>
              </w:rPr>
              <w:t xml:space="preserve"> </w:t>
            </w:r>
            <w:r w:rsidRPr="27C04D91" w:rsidR="27C04D91">
              <w:rPr>
                <w:rFonts w:ascii="Source Sans Pro" w:hAnsi="Source Sans Pro" w:eastAsia="Source Sans Pro" w:cs="Source Sans Pro"/>
                <w:noProof w:val="0"/>
                <w:sz w:val="24"/>
                <w:szCs w:val="24"/>
                <w:lang w:val="en-US"/>
              </w:rPr>
              <w:t xml:space="preserve">– </w:t>
            </w:r>
            <w:r w:rsidRPr="27C04D91" w:rsidR="27C04D91">
              <w:rPr>
                <w:rFonts w:ascii="Source Sans Pro" w:hAnsi="Source Sans Pro" w:cs="Times New Roman"/>
              </w:rPr>
              <w:t xml:space="preserve">Mr Skerry  </w:t>
            </w:r>
          </w:p>
          <w:p w:rsidRPr="0016041A" w:rsidR="008F18BC" w:rsidP="0016041A" w:rsidRDefault="008F18BC" w14:paraId="6CD8D4D3" w14:textId="3E7E1203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</w:p>
        </w:tc>
      </w:tr>
    </w:tbl>
    <w:p w:rsidRPr="0016041A" w:rsidR="0016041A" w:rsidP="0016041A" w:rsidRDefault="0016041A" w14:paraId="4D71C1B8" w14:textId="77777777">
      <w:pPr>
        <w:textAlignment w:val="baseline"/>
        <w:rPr>
          <w:rFonts w:ascii="Arial" w:hAnsi="Arial" w:cs="Arial"/>
          <w:sz w:val="18"/>
          <w:szCs w:val="18"/>
        </w:rPr>
      </w:pPr>
      <w:r w:rsidRPr="0016041A">
        <w:rPr>
          <w:rFonts w:ascii="Calibri" w:hAnsi="Calibri" w:cs="Arial"/>
          <w:sz w:val="22"/>
          <w:szCs w:val="22"/>
        </w:rPr>
        <w:t> </w:t>
      </w:r>
    </w:p>
    <w:p w:rsidR="00DF326C" w:rsidRDefault="00DF326C" w14:paraId="20219E4A" w14:textId="77777777"/>
    <w:sectPr w:rsidR="00DF326C" w:rsidSect="0047462A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1A"/>
    <w:rsid w:val="0001000F"/>
    <w:rsid w:val="00092E1F"/>
    <w:rsid w:val="000A5E00"/>
    <w:rsid w:val="000D7CE9"/>
    <w:rsid w:val="00146BFF"/>
    <w:rsid w:val="0016041A"/>
    <w:rsid w:val="00162314"/>
    <w:rsid w:val="00190252"/>
    <w:rsid w:val="0027024F"/>
    <w:rsid w:val="002A4581"/>
    <w:rsid w:val="002E0ABE"/>
    <w:rsid w:val="002E37BA"/>
    <w:rsid w:val="00325CD0"/>
    <w:rsid w:val="003303D1"/>
    <w:rsid w:val="00337857"/>
    <w:rsid w:val="00376D5E"/>
    <w:rsid w:val="003C717E"/>
    <w:rsid w:val="00430312"/>
    <w:rsid w:val="00435C8D"/>
    <w:rsid w:val="00467373"/>
    <w:rsid w:val="0047462A"/>
    <w:rsid w:val="004D3A1B"/>
    <w:rsid w:val="0052019D"/>
    <w:rsid w:val="00547301"/>
    <w:rsid w:val="0055113D"/>
    <w:rsid w:val="005938A3"/>
    <w:rsid w:val="005C6EB2"/>
    <w:rsid w:val="00617813"/>
    <w:rsid w:val="0067444F"/>
    <w:rsid w:val="00696ADD"/>
    <w:rsid w:val="006D285A"/>
    <w:rsid w:val="00802174"/>
    <w:rsid w:val="0080750F"/>
    <w:rsid w:val="008C5D0D"/>
    <w:rsid w:val="008F18BC"/>
    <w:rsid w:val="00993164"/>
    <w:rsid w:val="009B33BF"/>
    <w:rsid w:val="00A74487"/>
    <w:rsid w:val="00A8187C"/>
    <w:rsid w:val="00B33D81"/>
    <w:rsid w:val="00BB057F"/>
    <w:rsid w:val="00BB181B"/>
    <w:rsid w:val="00BF71C9"/>
    <w:rsid w:val="00C20C88"/>
    <w:rsid w:val="00C62022"/>
    <w:rsid w:val="00C805ED"/>
    <w:rsid w:val="00CC1754"/>
    <w:rsid w:val="00CE090B"/>
    <w:rsid w:val="00D37F44"/>
    <w:rsid w:val="00DB5006"/>
    <w:rsid w:val="00DF326C"/>
    <w:rsid w:val="00E1447E"/>
    <w:rsid w:val="00EC700D"/>
    <w:rsid w:val="00F044BB"/>
    <w:rsid w:val="00F16B79"/>
    <w:rsid w:val="00FA3D49"/>
    <w:rsid w:val="00FB3930"/>
    <w:rsid w:val="27C04D91"/>
    <w:rsid w:val="3A51D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03AC9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6041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ormaltextrun" w:customStyle="1">
    <w:name w:val="normaltextrun"/>
    <w:basedOn w:val="DefaultParagraphFont"/>
    <w:rsid w:val="0016041A"/>
  </w:style>
  <w:style w:type="character" w:styleId="apple-converted-space" w:customStyle="1">
    <w:name w:val="apple-converted-space"/>
    <w:basedOn w:val="DefaultParagraphFont"/>
    <w:rsid w:val="0016041A"/>
  </w:style>
  <w:style w:type="character" w:styleId="spellingerror" w:customStyle="1">
    <w:name w:val="spellingerror"/>
    <w:basedOn w:val="DefaultParagraphFont"/>
    <w:rsid w:val="0016041A"/>
  </w:style>
  <w:style w:type="character" w:styleId="eop" w:customStyle="1">
    <w:name w:val="eop"/>
    <w:basedOn w:val="DefaultParagraphFont"/>
    <w:rsid w:val="0016041A"/>
  </w:style>
  <w:style w:type="character" w:styleId="Hyperlink">
    <w:name w:val="Hyperlink"/>
    <w:basedOn w:val="DefaultParagraphFont"/>
    <w:uiPriority w:val="99"/>
    <w:unhideWhenUsed/>
    <w:rsid w:val="00146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4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 Bish</dc:creator>
  <keywords/>
  <dc:description/>
  <lastModifiedBy>Guto Jones</lastModifiedBy>
  <revision>5</revision>
  <lastPrinted>2017-08-22T17:11:00.0000000Z</lastPrinted>
  <dcterms:created xsi:type="dcterms:W3CDTF">2018-08-17T18:59:00.0000000Z</dcterms:created>
  <dcterms:modified xsi:type="dcterms:W3CDTF">2019-08-19T16:57:29.0194061Z</dcterms:modified>
</coreProperties>
</file>