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65D77" w:rsidR="00CB0722" w:rsidP="00CB0722" w:rsidRDefault="00CB0722" w14:paraId="1FE4B68C" w14:textId="2905ADDE">
      <w:pPr>
        <w:rPr>
          <w:sz w:val="24"/>
          <w:szCs w:val="24"/>
        </w:rPr>
      </w:pPr>
      <w:r w:rsidRPr="00B65D77">
        <w:rPr>
          <w:b/>
          <w:sz w:val="24"/>
          <w:szCs w:val="24"/>
          <w:u w:val="single"/>
        </w:rPr>
        <w:t>Subject / Year Group:</w:t>
      </w:r>
      <w:r w:rsidRPr="00B65D77" w:rsidR="00412071">
        <w:rPr>
          <w:b/>
          <w:sz w:val="24"/>
          <w:szCs w:val="24"/>
        </w:rPr>
        <w:tab/>
      </w:r>
      <w:r w:rsidRPr="00B65D77" w:rsidR="00412071">
        <w:rPr>
          <w:b/>
          <w:sz w:val="24"/>
          <w:szCs w:val="24"/>
        </w:rPr>
        <w:t xml:space="preserve"> </w:t>
      </w:r>
      <w:r w:rsidRPr="00B65D77" w:rsidR="00426250">
        <w:rPr>
          <w:sz w:val="24"/>
          <w:szCs w:val="24"/>
        </w:rPr>
        <w:t xml:space="preserve">IB </w:t>
      </w:r>
      <w:r w:rsidRPr="00B65D77" w:rsidR="004E6378">
        <w:rPr>
          <w:sz w:val="24"/>
          <w:szCs w:val="24"/>
        </w:rPr>
        <w:t>year 12</w:t>
      </w:r>
      <w:r w:rsidRPr="00B65D77" w:rsidR="007E4AE8">
        <w:rPr>
          <w:sz w:val="24"/>
          <w:szCs w:val="24"/>
        </w:rPr>
        <w:t xml:space="preserve"> G</w:t>
      </w:r>
      <w:r w:rsidRPr="00B65D77" w:rsidR="00426250">
        <w:rPr>
          <w:sz w:val="24"/>
          <w:szCs w:val="24"/>
        </w:rPr>
        <w:t>eography HL/SL</w:t>
      </w:r>
      <w:r w:rsidRPr="00B65D77" w:rsidR="00DE2C5F">
        <w:rPr>
          <w:b/>
          <w:sz w:val="24"/>
          <w:szCs w:val="24"/>
        </w:rPr>
        <w:t xml:space="preserve">    </w:t>
      </w:r>
      <w:r w:rsidR="00DF1F1A">
        <w:rPr>
          <w:b/>
          <w:sz w:val="24"/>
          <w:szCs w:val="24"/>
        </w:rPr>
        <w:tab/>
      </w:r>
      <w:r w:rsidR="00DF1F1A">
        <w:rPr>
          <w:b/>
          <w:sz w:val="24"/>
          <w:szCs w:val="24"/>
        </w:rPr>
        <w:tab/>
      </w:r>
      <w:r w:rsidRPr="00B65D77" w:rsidR="00DE2C5F">
        <w:rPr>
          <w:b/>
          <w:sz w:val="24"/>
          <w:szCs w:val="24"/>
        </w:rPr>
        <w:t xml:space="preserve"> </w:t>
      </w:r>
      <w:r w:rsidRPr="00B65D77">
        <w:rPr>
          <w:b/>
          <w:sz w:val="24"/>
          <w:szCs w:val="24"/>
          <w:u w:val="single"/>
        </w:rPr>
        <w:t>Unit Number:</w:t>
      </w:r>
      <w:r w:rsidRPr="00B65D77">
        <w:rPr>
          <w:b/>
          <w:sz w:val="24"/>
          <w:szCs w:val="24"/>
        </w:rPr>
        <w:t xml:space="preserve"> </w:t>
      </w:r>
      <w:r w:rsidRPr="00B65D77" w:rsidR="00651DE2">
        <w:rPr>
          <w:sz w:val="24"/>
          <w:szCs w:val="24"/>
        </w:rPr>
        <w:t>P</w:t>
      </w:r>
      <w:r w:rsidRPr="00B65D77" w:rsidR="00976F85">
        <w:rPr>
          <w:sz w:val="24"/>
          <w:szCs w:val="24"/>
        </w:rPr>
        <w:t>aper 2</w:t>
      </w:r>
      <w:r w:rsidRPr="00B65D77" w:rsidR="00F16577">
        <w:rPr>
          <w:sz w:val="24"/>
          <w:szCs w:val="24"/>
        </w:rPr>
        <w:t>- unit 1</w:t>
      </w:r>
    </w:p>
    <w:p w:rsidRPr="00B65D77" w:rsidR="00CB0722" w:rsidP="00CB0722" w:rsidRDefault="00CB0722" w14:paraId="243BEA02" w14:textId="2C4657CA">
      <w:pPr>
        <w:rPr>
          <w:sz w:val="24"/>
          <w:szCs w:val="24"/>
        </w:rPr>
      </w:pPr>
      <w:r w:rsidRPr="00B65D77">
        <w:rPr>
          <w:b/>
          <w:sz w:val="24"/>
          <w:szCs w:val="24"/>
          <w:u w:val="single"/>
        </w:rPr>
        <w:t>Title:</w:t>
      </w:r>
      <w:r w:rsidRPr="00B65D77">
        <w:rPr>
          <w:b/>
          <w:sz w:val="24"/>
          <w:szCs w:val="24"/>
        </w:rPr>
        <w:tab/>
      </w:r>
      <w:r w:rsidRPr="00B65D77" w:rsidR="00E07135">
        <w:rPr>
          <w:sz w:val="24"/>
          <w:szCs w:val="24"/>
        </w:rPr>
        <w:t xml:space="preserve"> </w:t>
      </w:r>
      <w:r w:rsidRPr="00B65D77" w:rsidR="00B65D77">
        <w:rPr>
          <w:sz w:val="24"/>
          <w:szCs w:val="24"/>
        </w:rPr>
        <w:t>Population change</w:t>
      </w:r>
      <w:r w:rsidRPr="00B65D77" w:rsidR="00682205">
        <w:rPr>
          <w:sz w:val="24"/>
          <w:szCs w:val="24"/>
        </w:rPr>
        <w:tab/>
      </w:r>
      <w:r w:rsidRPr="00B65D77" w:rsidR="00412071">
        <w:rPr>
          <w:b/>
          <w:sz w:val="24"/>
          <w:szCs w:val="24"/>
        </w:rPr>
        <w:tab/>
      </w:r>
      <w:r w:rsidRPr="00B65D77" w:rsidR="00751DD4">
        <w:rPr>
          <w:b/>
          <w:sz w:val="24"/>
          <w:szCs w:val="24"/>
        </w:rPr>
        <w:t xml:space="preserve">            </w:t>
      </w:r>
      <w:r w:rsidR="00DF1F1A">
        <w:rPr>
          <w:b/>
          <w:sz w:val="24"/>
          <w:szCs w:val="24"/>
        </w:rPr>
        <w:tab/>
      </w:r>
      <w:r w:rsidR="00DF1F1A">
        <w:rPr>
          <w:b/>
          <w:sz w:val="24"/>
          <w:szCs w:val="24"/>
        </w:rPr>
        <w:tab/>
      </w:r>
      <w:r w:rsidR="00DF1F1A">
        <w:rPr>
          <w:b/>
          <w:sz w:val="24"/>
          <w:szCs w:val="24"/>
        </w:rPr>
        <w:tab/>
      </w:r>
      <w:r w:rsidR="00DF1F1A">
        <w:rPr>
          <w:b/>
          <w:sz w:val="24"/>
          <w:szCs w:val="24"/>
        </w:rPr>
        <w:tab/>
      </w:r>
      <w:bookmarkStart w:name="_GoBack" w:id="0"/>
      <w:bookmarkEnd w:id="0"/>
      <w:r w:rsidRPr="00B65D77">
        <w:rPr>
          <w:b/>
          <w:sz w:val="24"/>
          <w:szCs w:val="24"/>
          <w:u w:val="single"/>
        </w:rPr>
        <w:t>Length of Unit:</w:t>
      </w:r>
      <w:r w:rsidRPr="00B65D77" w:rsidR="00682205">
        <w:rPr>
          <w:sz w:val="24"/>
          <w:szCs w:val="24"/>
        </w:rPr>
        <w:t xml:space="preserve"> </w:t>
      </w:r>
      <w:proofErr w:type="gramStart"/>
      <w:r w:rsidRPr="00B65D77" w:rsidR="00B65D77">
        <w:rPr>
          <w:sz w:val="24"/>
          <w:szCs w:val="24"/>
        </w:rPr>
        <w:t xml:space="preserve">10 </w:t>
      </w:r>
      <w:r w:rsidRPr="00B65D77" w:rsidR="00751DD4">
        <w:rPr>
          <w:sz w:val="24"/>
          <w:szCs w:val="24"/>
        </w:rPr>
        <w:t xml:space="preserve"> weeks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CB0722" w:rsidTr="685E63AA" w14:paraId="25B9471A" w14:textId="77777777">
        <w:trPr>
          <w:trHeight w:val="377"/>
        </w:trPr>
        <w:tc>
          <w:tcPr>
            <w:tcW w:w="10790" w:type="dxa"/>
            <w:gridSpan w:val="2"/>
            <w:tcBorders>
              <w:bottom w:val="single" w:color="auto" w:sz="4" w:space="0"/>
            </w:tcBorders>
            <w:shd w:val="clear" w:color="auto" w:fill="30CDD7"/>
            <w:tcMar/>
          </w:tcPr>
          <w:p w:rsidRPr="00D97636" w:rsidR="00CB0722" w:rsidP="00600D73" w:rsidRDefault="00CB0722" w14:paraId="298D1DB4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Summary of Unit</w:t>
            </w:r>
          </w:p>
        </w:tc>
      </w:tr>
      <w:tr w:rsidR="00CB0722" w:rsidTr="685E63AA" w14:paraId="607719CF" w14:textId="77777777">
        <w:tc>
          <w:tcPr>
            <w:tcW w:w="10790" w:type="dxa"/>
            <w:gridSpan w:val="2"/>
            <w:tcBorders>
              <w:bottom w:val="single" w:color="auto" w:sz="4" w:space="0"/>
            </w:tcBorders>
            <w:tcMar/>
          </w:tcPr>
          <w:p w:rsidRPr="00B65D77" w:rsidR="00976F85" w:rsidP="685E63AA" w:rsidRDefault="00976F85" w14:paraId="1B8D0363" w14:textId="784C88A1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 xml:space="preserve">This core unit focuses </w:t>
            </w: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>on</w:t>
            </w: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 xml:space="preserve"> the</w:t>
            </w: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 xml:space="preserve"> concept of population change and an evaluation of how populations change between places. </w:t>
            </w:r>
          </w:p>
          <w:p w:rsidRPr="00B65D77" w:rsidR="00CB0722" w:rsidP="685E63AA" w:rsidRDefault="00976F85" w14:paraId="096AC793" w14:textId="5C472CDC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>Physical and human factors affecting population distribution at the global scale</w:t>
            </w: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 xml:space="preserve">. </w:t>
            </w: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>Global patterns and classification of economic development:</w:t>
            </w:r>
            <w:r>
              <w:br/>
            </w: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>• low-income countries</w:t>
            </w:r>
            <w:r>
              <w:br/>
            </w: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>• middle-income countries and emerging economies</w:t>
            </w:r>
            <w:r>
              <w:br/>
            </w: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>• high-income countries</w:t>
            </w:r>
            <w:r>
              <w:br/>
            </w: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>Population distribution and economic development at the national scale, including voluntary internal migration, core-periphery patterns and megacity growth</w:t>
            </w:r>
            <w:r>
              <w:br/>
            </w: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>• </w:t>
            </w:r>
            <w:r w:rsidRPr="685E63AA" w:rsidR="685E63AA">
              <w:rPr>
                <w:rStyle w:val="Emphasis"/>
                <w:rFonts w:ascii="Calibri" w:hAnsi="Calibri" w:cs="Calibri"/>
                <w:color w:val="000000" w:themeColor="text1" w:themeTint="FF" w:themeShade="FF"/>
              </w:rPr>
              <w:t>Two detailed and contrasting examples of uneven population distribution</w:t>
            </w:r>
            <w:r>
              <w:br/>
            </w:r>
            <w:r w:rsidRPr="685E63AA" w:rsidR="685E63AA">
              <w:rPr>
                <w:rStyle w:val="Strong"/>
                <w:rFonts w:ascii="Calibri" w:hAnsi="Calibri" w:cs="Calibri"/>
                <w:color w:val="000000" w:themeColor="text1" w:themeTint="FF" w:themeShade="FF"/>
              </w:rPr>
              <w:t>Synthesis, evaluation and skills opportunities</w:t>
            </w:r>
            <w:r>
              <w:br/>
            </w: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>The relative importance of different influences on where people live and </w:t>
            </w:r>
            <w:r w:rsidRPr="685E63AA" w:rsidR="685E63AA">
              <w:rPr>
                <w:rStyle w:val="Strong"/>
                <w:rFonts w:ascii="Calibri" w:hAnsi="Calibri" w:cs="Calibri"/>
                <w:color w:val="000000" w:themeColor="text1" w:themeTint="FF" w:themeShade="FF"/>
              </w:rPr>
              <w:t>spatial interactions</w:t>
            </w:r>
            <w:r w:rsidRPr="685E63AA" w:rsidR="685E63AA">
              <w:rPr>
                <w:rFonts w:ascii="Calibri" w:hAnsi="Calibri" w:cs="Calibri"/>
                <w:color w:val="000000" w:themeColor="text1" w:themeTint="FF" w:themeShade="FF"/>
              </w:rPr>
              <w:t> between places at varying </w:t>
            </w:r>
            <w:r w:rsidRPr="685E63AA" w:rsidR="685E63AA">
              <w:rPr>
                <w:rStyle w:val="Strong"/>
                <w:rFonts w:ascii="Calibri" w:hAnsi="Calibri" w:cs="Calibri"/>
                <w:color w:val="000000" w:themeColor="text1" w:themeTint="FF" w:themeShade="FF"/>
              </w:rPr>
              <w:t>scales</w:t>
            </w:r>
          </w:p>
        </w:tc>
      </w:tr>
      <w:tr w:rsidR="00CB0722" w:rsidTr="685E63AA" w14:paraId="4FA84E73" w14:textId="77777777">
        <w:tc>
          <w:tcPr>
            <w:tcW w:w="10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B0722" w:rsidP="00600D73" w:rsidRDefault="00CB0722" w14:paraId="5425F802" w14:textId="77777777"/>
        </w:tc>
      </w:tr>
      <w:tr w:rsidR="00CB0722" w:rsidTr="685E63AA" w14:paraId="6C9D6A8A" w14:textId="77777777">
        <w:tc>
          <w:tcPr>
            <w:tcW w:w="10790" w:type="dxa"/>
            <w:gridSpan w:val="2"/>
            <w:tcBorders>
              <w:top w:val="single" w:color="auto" w:sz="4" w:space="0"/>
            </w:tcBorders>
            <w:shd w:val="clear" w:color="auto" w:fill="30CDD7"/>
            <w:tcMar/>
          </w:tcPr>
          <w:p w:rsidRPr="00D97636" w:rsidR="00CB0722" w:rsidP="00600D73" w:rsidRDefault="00CB0722" w14:paraId="06D676EF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will progress be measured?</w:t>
            </w:r>
          </w:p>
        </w:tc>
      </w:tr>
      <w:tr w:rsidR="00CB0722" w:rsidTr="685E63AA" w14:paraId="66CDAC09" w14:textId="77777777">
        <w:trPr>
          <w:trHeight w:val="88"/>
        </w:trPr>
        <w:tc>
          <w:tcPr>
            <w:tcW w:w="2965" w:type="dxa"/>
            <w:shd w:val="clear" w:color="auto" w:fill="30CDD7"/>
            <w:tcMar/>
            <w:vAlign w:val="center"/>
          </w:tcPr>
          <w:p w:rsidRPr="008D5C05" w:rsidR="00CB0722" w:rsidP="00600D73" w:rsidRDefault="00CB0722" w14:paraId="6E0D276B" w14:textId="77777777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Diagnostic Assessment:</w:t>
            </w:r>
          </w:p>
        </w:tc>
        <w:tc>
          <w:tcPr>
            <w:tcW w:w="7825" w:type="dxa"/>
            <w:tcMar/>
          </w:tcPr>
          <w:p w:rsidR="00682205" w:rsidP="00EB7D2E" w:rsidRDefault="00B65D77" w14:paraId="209DF506" w14:textId="0DD94114">
            <w:r>
              <w:t xml:space="preserve">A debate- </w:t>
            </w:r>
            <w:proofErr w:type="gramStart"/>
            <w:r>
              <w:t>‘ The</w:t>
            </w:r>
            <w:proofErr w:type="gramEnd"/>
            <w:r>
              <w:t xml:space="preserve"> UN should control population growth’ to assess students </w:t>
            </w:r>
            <w:proofErr w:type="spellStart"/>
            <w:r>
              <w:t>undertsnading</w:t>
            </w:r>
            <w:proofErr w:type="spellEnd"/>
            <w:r>
              <w:t xml:space="preserve"> of the topic. Research for one side of the debate will be </w:t>
            </w:r>
            <w:proofErr w:type="spellStart"/>
            <w:r>
              <w:t>be</w:t>
            </w:r>
            <w:proofErr w:type="spellEnd"/>
            <w:r>
              <w:t xml:space="preserve"> undertaken using stimulus material. Students will formulate questions regarding this topic based on the debate. </w:t>
            </w:r>
          </w:p>
        </w:tc>
      </w:tr>
      <w:tr w:rsidR="00CB0722" w:rsidTr="685E63AA" w14:paraId="586D6E97" w14:textId="77777777">
        <w:trPr>
          <w:trHeight w:val="86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30CDD7"/>
            <w:tcMar/>
            <w:vAlign w:val="center"/>
          </w:tcPr>
          <w:p w:rsidRPr="008D5C05" w:rsidR="00CB0722" w:rsidP="00600D73" w:rsidRDefault="00CB0722" w14:paraId="7B4DD2B2" w14:textId="77777777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Formative Assessment:</w:t>
            </w:r>
          </w:p>
        </w:tc>
        <w:tc>
          <w:tcPr>
            <w:tcW w:w="7825" w:type="dxa"/>
            <w:tcBorders>
              <w:bottom w:val="single" w:color="auto" w:sz="4" w:space="0"/>
            </w:tcBorders>
            <w:tcMar/>
          </w:tcPr>
          <w:p w:rsidR="00682205" w:rsidP="00651DE2" w:rsidRDefault="00C07187" w14:paraId="322F3768" w14:textId="11F7D401">
            <w:r>
              <w:t xml:space="preserve">Over the course the unit students will </w:t>
            </w:r>
            <w:r w:rsidR="000C203B">
              <w:t xml:space="preserve">use a range of </w:t>
            </w:r>
            <w:r w:rsidR="00186CBC">
              <w:t>sources</w:t>
            </w:r>
            <w:r w:rsidR="00E720AB">
              <w:t xml:space="preserve"> to</w:t>
            </w:r>
            <w:r w:rsidR="00B65D77">
              <w:t xml:space="preserve"> assess population change</w:t>
            </w:r>
            <w:r w:rsidR="005438C2">
              <w:t xml:space="preserve">. </w:t>
            </w:r>
            <w:r w:rsidR="000C203B">
              <w:t>They will partake in dis</w:t>
            </w:r>
            <w:r w:rsidR="00C362D7">
              <w:t>cussions, give presentatio</w:t>
            </w:r>
            <w:r w:rsidR="00651DE2">
              <w:t xml:space="preserve">ns, </w:t>
            </w:r>
            <w:r w:rsidR="00C362D7">
              <w:t>learn theories and case</w:t>
            </w:r>
            <w:r w:rsidR="00651DE2">
              <w:t xml:space="preserve"> studies and</w:t>
            </w:r>
            <w:r w:rsidR="000C203B">
              <w:t xml:space="preserve"> analyse data to evaluate the key questions. Feedback will be given both by peers and the teacher either verbally or in written comments.</w:t>
            </w:r>
            <w:r w:rsidR="00186CBC">
              <w:t xml:space="preserve"> A range of practice I</w:t>
            </w:r>
            <w:r w:rsidR="00651DE2">
              <w:t>B</w:t>
            </w:r>
            <w:r w:rsidR="00186CBC">
              <w:t xml:space="preserve"> style questions will be practiced and feedback will be given </w:t>
            </w:r>
            <w:r w:rsidR="00265B69">
              <w:t xml:space="preserve">about how to be successful in these. </w:t>
            </w:r>
          </w:p>
        </w:tc>
      </w:tr>
      <w:tr w:rsidR="00CB0722" w:rsidTr="685E63AA" w14:paraId="45BF1C07" w14:textId="77777777">
        <w:trPr>
          <w:trHeight w:val="86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30CDD7"/>
            <w:tcMar/>
            <w:vAlign w:val="center"/>
          </w:tcPr>
          <w:p w:rsidRPr="008D5C05" w:rsidR="00CB0722" w:rsidP="00600D73" w:rsidRDefault="00CB0722" w14:paraId="79388093" w14:textId="77777777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Summative Assessment:</w:t>
            </w:r>
          </w:p>
        </w:tc>
        <w:tc>
          <w:tcPr>
            <w:tcW w:w="7825" w:type="dxa"/>
            <w:tcBorders>
              <w:bottom w:val="single" w:color="auto" w:sz="4" w:space="0"/>
            </w:tcBorders>
            <w:tcMar/>
          </w:tcPr>
          <w:p w:rsidR="0065702B" w:rsidP="00682205" w:rsidRDefault="00265B69" w14:paraId="4240A9CE" w14:textId="24BD65C7">
            <w:r>
              <w:t>At the end of the unit an end of uni</w:t>
            </w:r>
            <w:r w:rsidR="00B65D77">
              <w:t>t a test will be given based on past IB questions</w:t>
            </w:r>
            <w:r>
              <w:t xml:space="preserve">. </w:t>
            </w:r>
            <w:r w:rsidR="0032714A">
              <w:t xml:space="preserve"> </w:t>
            </w:r>
            <w:r>
              <w:t>This will have a range of data response</w:t>
            </w:r>
            <w:r w:rsidR="00B65D77">
              <w:t>, infographic</w:t>
            </w:r>
            <w:r>
              <w:t xml:space="preserve"> and knowledge </w:t>
            </w:r>
            <w:r w:rsidR="00651DE2">
              <w:t>questions ranging from 1-10</w:t>
            </w:r>
            <w:r>
              <w:t xml:space="preserve"> marks. </w:t>
            </w:r>
            <w:r w:rsidR="003200BC">
              <w:t>These will be marked by the teacher</w:t>
            </w:r>
            <w:r w:rsidR="001762FB">
              <w:t>, feedback will be given</w:t>
            </w:r>
            <w:r w:rsidR="003200BC">
              <w:t xml:space="preserve"> and an indicative </w:t>
            </w:r>
            <w:r w:rsidR="00651DE2">
              <w:t>IB</w:t>
            </w:r>
            <w:r w:rsidR="0065702B">
              <w:t xml:space="preserve"> grade will be given.</w:t>
            </w:r>
          </w:p>
        </w:tc>
      </w:tr>
      <w:tr w:rsidR="00CB0722" w:rsidTr="685E63AA" w14:paraId="3CD1791D" w14:textId="77777777">
        <w:trPr>
          <w:trHeight w:val="86"/>
        </w:trPr>
        <w:tc>
          <w:tcPr>
            <w:tcW w:w="107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CB0722" w:rsidP="00600D73" w:rsidRDefault="00CB0722" w14:paraId="4FA30A5D" w14:textId="3B7B964A"/>
        </w:tc>
      </w:tr>
      <w:tr w:rsidR="00CB0722" w:rsidTr="685E63AA" w14:paraId="2899A1D2" w14:textId="77777777">
        <w:tc>
          <w:tcPr>
            <w:tcW w:w="10790" w:type="dxa"/>
            <w:gridSpan w:val="2"/>
            <w:tcBorders>
              <w:top w:val="single" w:color="auto" w:sz="4" w:space="0"/>
            </w:tcBorders>
            <w:shd w:val="clear" w:color="auto" w:fill="30CDD7"/>
            <w:tcMar/>
          </w:tcPr>
          <w:p w:rsidRPr="00D97636" w:rsidR="00CB0722" w:rsidP="00600D73" w:rsidRDefault="00CB0722" w14:paraId="4B201385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Support Available</w:t>
            </w:r>
          </w:p>
        </w:tc>
      </w:tr>
      <w:tr w:rsidR="00CB0722" w:rsidTr="685E63AA" w14:paraId="24ED234A" w14:textId="77777777">
        <w:trPr>
          <w:trHeight w:val="971"/>
        </w:trPr>
        <w:tc>
          <w:tcPr>
            <w:tcW w:w="2965" w:type="dxa"/>
            <w:shd w:val="clear" w:color="auto" w:fill="30CDD7"/>
            <w:tcMar/>
            <w:vAlign w:val="center"/>
          </w:tcPr>
          <w:p w:rsidRPr="008D5C05" w:rsidR="00CB0722" w:rsidP="00600D73" w:rsidRDefault="00CB0722" w14:paraId="28E1BA3A" w14:textId="77777777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Useful resources:</w:t>
            </w:r>
          </w:p>
        </w:tc>
        <w:tc>
          <w:tcPr>
            <w:tcW w:w="7825" w:type="dxa"/>
            <w:tcMar/>
          </w:tcPr>
          <w:p w:rsidR="007E4AE8" w:rsidP="00600D73" w:rsidRDefault="001762FB" w14:paraId="65A0698F" w14:textId="60188B48">
            <w:r>
              <w:t xml:space="preserve">Class website: </w:t>
            </w:r>
            <w:hyperlink w:history="1" r:id="rId6">
              <w:r w:rsidRPr="004D29E8">
                <w:rPr>
                  <w:rStyle w:val="Hyperlink"/>
                </w:rPr>
                <w:t>http://bishoustonhumanities.weebly.com/ib-geography.html</w:t>
              </w:r>
            </w:hyperlink>
          </w:p>
          <w:p w:rsidR="001762FB" w:rsidP="00600D73" w:rsidRDefault="001762FB" w14:paraId="66B7E6BF" w14:textId="5B4E8D49">
            <w:r>
              <w:t>BISH geography twit</w:t>
            </w:r>
            <w:r w:rsidR="00B65D77">
              <w:t xml:space="preserve">ter page for extension reading: </w:t>
            </w:r>
            <w:r w:rsidRPr="001762FB">
              <w:t>https://twitter.com/BISHGeography</w:t>
            </w:r>
          </w:p>
          <w:p w:rsidR="001762FB" w:rsidP="00600D73" w:rsidRDefault="001762FB" w14:paraId="76B1FABD" w14:textId="63A4CD54">
            <w:r>
              <w:t>I</w:t>
            </w:r>
            <w:r w:rsidR="00427D4B">
              <w:t>B textboo</w:t>
            </w:r>
            <w:r>
              <w:t>k</w:t>
            </w:r>
          </w:p>
        </w:tc>
      </w:tr>
      <w:tr w:rsidR="00CB0722" w:rsidTr="685E63AA" w14:paraId="2FD8F479" w14:textId="77777777">
        <w:trPr>
          <w:trHeight w:val="86"/>
        </w:trPr>
        <w:tc>
          <w:tcPr>
            <w:tcW w:w="2965" w:type="dxa"/>
            <w:shd w:val="clear" w:color="auto" w:fill="30CDD7"/>
            <w:tcMar/>
            <w:vAlign w:val="center"/>
          </w:tcPr>
          <w:p w:rsidRPr="008D5C05" w:rsidR="00CB0722" w:rsidP="00600D73" w:rsidRDefault="00CB0722" w14:paraId="290CDB71" w14:textId="22BFA3D3">
            <w:pPr>
              <w:rPr>
                <w:sz w:val="24"/>
              </w:rPr>
            </w:pPr>
            <w:r>
              <w:rPr>
                <w:sz w:val="24"/>
              </w:rPr>
              <w:t>Key Contacts</w:t>
            </w:r>
          </w:p>
        </w:tc>
        <w:tc>
          <w:tcPr>
            <w:tcW w:w="7825" w:type="dxa"/>
            <w:tcMar/>
            <w:vAlign w:val="center"/>
          </w:tcPr>
          <w:p w:rsidR="00CB0722" w:rsidP="005E0D63" w:rsidRDefault="00D257B6" w14:paraId="7C0D934D" w14:textId="072D25A3">
            <w:r>
              <w:t>Anna Bennett (Head of Humanities)</w:t>
            </w:r>
            <w:r w:rsidR="002A0C31">
              <w:t>/ Ruth Capper (Geography teacher)</w:t>
            </w:r>
          </w:p>
        </w:tc>
      </w:tr>
    </w:tbl>
    <w:p w:rsidRPr="00CB0722" w:rsidR="002A6A5B" w:rsidP="00CB0722" w:rsidRDefault="002A6A5B" w14:paraId="4CAA9BCF" w14:textId="33EEDCD1"/>
    <w:sectPr w:rsidRPr="00CB0722" w:rsidR="002A6A5B" w:rsidSect="004264DB">
      <w:headerReference w:type="default" r:id="rId7"/>
      <w:footerReference w:type="default" r:id="rId8"/>
      <w:pgSz w:w="12240" w:h="15840" w:orient="portrait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23B" w:rsidP="00291F5C" w:rsidRDefault="005A223B" w14:paraId="2AF810D8" w14:textId="77777777">
      <w:pPr>
        <w:spacing w:after="0" w:line="240" w:lineRule="auto"/>
      </w:pPr>
      <w:r>
        <w:separator/>
      </w:r>
    </w:p>
  </w:endnote>
  <w:endnote w:type="continuationSeparator" w:id="0">
    <w:p w:rsidR="005A223B" w:rsidP="00291F5C" w:rsidRDefault="005A223B" w14:paraId="7CBBE6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4264DB" w:rsidRDefault="004264DB" w14:paraId="614D4EA7" w14:textId="7777777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1968A41" wp14:editId="1742BF99">
              <wp:simplePos x="0" y="0"/>
              <wp:positionH relativeFrom="column">
                <wp:posOffset>-57150</wp:posOffset>
              </wp:positionH>
              <wp:positionV relativeFrom="paragraph">
                <wp:posOffset>83820</wp:posOffset>
              </wp:positionV>
              <wp:extent cx="133350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965DCE" w:rsidR="004264DB" w:rsidP="004264DB" w:rsidRDefault="004264DB" w14:paraId="613B4171" w14:textId="77777777">
                          <w:pPr>
                            <w:rPr>
                              <w:rFonts w:ascii="Source Sans Pro Semibold" w:hAnsi="Source Sans Pro Semibold"/>
                              <w:color w:val="30CDD7"/>
                              <w:sz w:val="18"/>
                              <w:szCs w:val="18"/>
                            </w:rPr>
                          </w:pPr>
                          <w:r w:rsidRPr="00965DCE">
                            <w:rPr>
                              <w:rFonts w:ascii="Source Sans Pro Semibold" w:hAnsi="Source Sans Pro Semibold"/>
                              <w:color w:val="30CDD7"/>
                              <w:sz w:val="18"/>
                              <w:szCs w:val="18"/>
                            </w:rPr>
                            <w:t>www.bishouston.org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 w14:anchorId="2FEA056B">
            <v:shapetype id="_x0000_t202" coordsize="21600,21600" o:spt="202" path="m0,0l0,21600,21600,21600,21600,0xe" w14:anchorId="51968A41">
              <v:stroke joinstyle="miter"/>
              <v:path gradientshapeok="t" o:connecttype="rect"/>
            </v:shapetype>
            <v:shape id="_x0000_s1027" style="position:absolute;margin-left:-4.5pt;margin-top:6.6pt;width:10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">
              <v:textbox>
                <w:txbxContent>
                  <w:p w:rsidRPr="00965DCE" w:rsidR="004264DB" w:rsidP="004264DB" w:rsidRDefault="004264DB" w14:paraId="4E222021" w14:textId="77777777">
                    <w:pPr>
                      <w:rPr>
                        <w:rFonts w:ascii="Source Sans Pro Semibold" w:hAnsi="Source Sans Pro Semibold"/>
                        <w:color w:val="30CDD7"/>
                        <w:sz w:val="18"/>
                        <w:szCs w:val="18"/>
                      </w:rPr>
                    </w:pPr>
                    <w:r w:rsidRPr="00965DCE">
                      <w:rPr>
                        <w:rFonts w:ascii="Source Sans Pro Semibold" w:hAnsi="Source Sans Pro Semibold"/>
                        <w:color w:val="30CDD7"/>
                        <w:sz w:val="18"/>
                        <w:szCs w:val="18"/>
                      </w:rPr>
                      <w:t>www.bishouston.org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264DB" w:rsidRDefault="004264DB" w14:paraId="6DCF4AB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23B" w:rsidP="00291F5C" w:rsidRDefault="005A223B" w14:paraId="74E31B85" w14:textId="77777777">
      <w:pPr>
        <w:spacing w:after="0" w:line="240" w:lineRule="auto"/>
      </w:pPr>
      <w:r>
        <w:separator/>
      </w:r>
    </w:p>
  </w:footnote>
  <w:footnote w:type="continuationSeparator" w:id="0">
    <w:p w:rsidR="005A223B" w:rsidP="00291F5C" w:rsidRDefault="005A223B" w14:paraId="6E6B57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91F5C" w:rsidP="00B24C7A" w:rsidRDefault="0002334C" w14:paraId="7F452895" w14:textId="7777777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D7172E2" wp14:editId="64514275">
              <wp:simplePos x="0" y="0"/>
              <wp:positionH relativeFrom="margin">
                <wp:align>right</wp:align>
              </wp:positionH>
              <wp:positionV relativeFrom="paragraph">
                <wp:posOffset>-706755</wp:posOffset>
              </wp:positionV>
              <wp:extent cx="2590800" cy="7334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264DB" w:rsidR="00B24C7A" w:rsidP="004264DB" w:rsidRDefault="00757694" w14:paraId="76BD1E34" w14:textId="77777777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2203 N. Westgreen Blvd, Katy, Texas 77449</w:t>
                          </w:r>
                        </w:p>
                        <w:p w:rsidR="00B24C7A" w:rsidP="004264DB" w:rsidRDefault="004264DB" w14:paraId="503CB7FC" w14:textId="77777777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T:</w:t>
                          </w:r>
                          <w:r w:rsidRPr="004264DB" w:rsidR="00B24C7A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713.290.9025</w:t>
                          </w:r>
                        </w:p>
                        <w:p w:rsidRPr="004264DB" w:rsidR="00E96A57" w:rsidP="004264DB" w:rsidRDefault="00E96A57" w14:paraId="446B2B91" w14:textId="77777777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E: Admin@bishouston.org</w:t>
                          </w:r>
                        </w:p>
                        <w:p w:rsidR="00B24C7A" w:rsidRDefault="00B24C7A" w14:paraId="5E733E87" w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 w14:anchorId="1308EB1A">
            <v:shapetype id="_x0000_t202" coordsize="21600,21600" o:spt="202" path="m0,0l0,21600,21600,21600,21600,0xe" w14:anchorId="5D7172E2">
              <v:stroke joinstyle="miter"/>
              <v:path gradientshapeok="t" o:connecttype="rect"/>
            </v:shapetype>
            <v:shape id="Text Box 2" style="position:absolute;margin-left:152.8pt;margin-top:-55.6pt;width:204pt;height:5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">
              <v:textbox>
                <w:txbxContent>
                  <w:p w:rsidRPr="004264DB" w:rsidR="00B24C7A" w:rsidP="004264DB" w:rsidRDefault="00757694" w14:paraId="15F37E2E" w14:textId="77777777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2203 N. Westgreen Blvd, Katy, Texas 77449</w:t>
                    </w:r>
                  </w:p>
                  <w:p w:rsidR="00B24C7A" w:rsidP="004264DB" w:rsidRDefault="004264DB" w14:paraId="27B9D123" w14:textId="77777777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T:</w:t>
                    </w:r>
                    <w:r w:rsidRPr="004264DB" w:rsidR="00B24C7A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713.290.9025</w:t>
                    </w:r>
                  </w:p>
                  <w:p w:rsidRPr="004264DB" w:rsidR="00E96A57" w:rsidP="004264DB" w:rsidRDefault="00E96A57" w14:paraId="0C2F4BD1" w14:textId="77777777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E: Admin@bishouston.org</w:t>
                    </w:r>
                  </w:p>
                  <w:p w:rsidR="00B24C7A" w:rsidRDefault="00B24C7A" w14:paraId="672A6659" w14:textId="77777777"/>
                </w:txbxContent>
              </v:textbox>
              <w10:wrap type="square" anchorx="margin"/>
            </v:shape>
          </w:pict>
        </mc:Fallback>
      </mc:AlternateContent>
    </w:r>
    <w:r w:rsidR="00B24C7A">
      <w:rPr>
        <w:noProof/>
      </w:rPr>
      <w:t xml:space="preserve"> </w:t>
    </w:r>
    <w:r w:rsidRPr="0016180A" w:rsidR="0016180A">
      <w:rPr>
        <w:noProof/>
      </w:rPr>
      <w:drawing>
        <wp:inline distT="0" distB="0" distL="0" distR="0" wp14:anchorId="1C6F7419" wp14:editId="7AC5A4A4">
          <wp:extent cx="6702552" cy="448056"/>
          <wp:effectExtent l="0" t="0" r="317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5" t="478" r="76221" b="1"/>
                  <a:stretch/>
                </pic:blipFill>
                <pic:spPr bwMode="auto">
                  <a:xfrm>
                    <a:off x="0" y="0"/>
                    <a:ext cx="670255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91F5C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1" layoutInCell="1" allowOverlap="1" wp14:anchorId="0B4A2550" wp14:editId="368619BF">
          <wp:simplePos x="0" y="0"/>
          <wp:positionH relativeFrom="page">
            <wp:posOffset>582295</wp:posOffset>
          </wp:positionH>
          <wp:positionV relativeFrom="page">
            <wp:posOffset>217805</wp:posOffset>
          </wp:positionV>
          <wp:extent cx="4059555" cy="8775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55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F5C" w:rsidRDefault="00291F5C" w14:paraId="1B32E45A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5C"/>
    <w:rsid w:val="00002954"/>
    <w:rsid w:val="0002056C"/>
    <w:rsid w:val="00020DD5"/>
    <w:rsid w:val="0002334C"/>
    <w:rsid w:val="000338C0"/>
    <w:rsid w:val="00045AAD"/>
    <w:rsid w:val="00053A3F"/>
    <w:rsid w:val="000666F3"/>
    <w:rsid w:val="000A7CC8"/>
    <w:rsid w:val="000C203B"/>
    <w:rsid w:val="000C4337"/>
    <w:rsid w:val="000E13DD"/>
    <w:rsid w:val="000F731A"/>
    <w:rsid w:val="00112EE3"/>
    <w:rsid w:val="001144DF"/>
    <w:rsid w:val="001163AA"/>
    <w:rsid w:val="0014290A"/>
    <w:rsid w:val="001452E9"/>
    <w:rsid w:val="0014598B"/>
    <w:rsid w:val="0016180A"/>
    <w:rsid w:val="00165E4D"/>
    <w:rsid w:val="00171D00"/>
    <w:rsid w:val="001762FB"/>
    <w:rsid w:val="00186CBC"/>
    <w:rsid w:val="001C0AF6"/>
    <w:rsid w:val="001D22C3"/>
    <w:rsid w:val="001D74D9"/>
    <w:rsid w:val="001F3720"/>
    <w:rsid w:val="00221C19"/>
    <w:rsid w:val="00224D53"/>
    <w:rsid w:val="0023250F"/>
    <w:rsid w:val="002535E3"/>
    <w:rsid w:val="00257E0B"/>
    <w:rsid w:val="00262245"/>
    <w:rsid w:val="00265B69"/>
    <w:rsid w:val="00267FA0"/>
    <w:rsid w:val="00274847"/>
    <w:rsid w:val="00291F5C"/>
    <w:rsid w:val="00295D13"/>
    <w:rsid w:val="002A0C31"/>
    <w:rsid w:val="002A4F56"/>
    <w:rsid w:val="002A5A80"/>
    <w:rsid w:val="002A6A5B"/>
    <w:rsid w:val="002B67B9"/>
    <w:rsid w:val="002B67E7"/>
    <w:rsid w:val="002B7B03"/>
    <w:rsid w:val="002C49B7"/>
    <w:rsid w:val="002D0198"/>
    <w:rsid w:val="002E2241"/>
    <w:rsid w:val="00306F1C"/>
    <w:rsid w:val="00310197"/>
    <w:rsid w:val="0032000A"/>
    <w:rsid w:val="003200BC"/>
    <w:rsid w:val="0032198B"/>
    <w:rsid w:val="0032714A"/>
    <w:rsid w:val="0033034B"/>
    <w:rsid w:val="00373CA5"/>
    <w:rsid w:val="00387174"/>
    <w:rsid w:val="003A7962"/>
    <w:rsid w:val="003C7975"/>
    <w:rsid w:val="003F542C"/>
    <w:rsid w:val="00412071"/>
    <w:rsid w:val="00426250"/>
    <w:rsid w:val="004264DB"/>
    <w:rsid w:val="00427D4B"/>
    <w:rsid w:val="00454236"/>
    <w:rsid w:val="00460A14"/>
    <w:rsid w:val="004736C5"/>
    <w:rsid w:val="00474B0A"/>
    <w:rsid w:val="00481B53"/>
    <w:rsid w:val="004831CF"/>
    <w:rsid w:val="004C4ACA"/>
    <w:rsid w:val="004C4C18"/>
    <w:rsid w:val="004C733F"/>
    <w:rsid w:val="004E3DE3"/>
    <w:rsid w:val="004E6378"/>
    <w:rsid w:val="004F3F89"/>
    <w:rsid w:val="00502B29"/>
    <w:rsid w:val="005073D8"/>
    <w:rsid w:val="005438C2"/>
    <w:rsid w:val="00561011"/>
    <w:rsid w:val="00571D64"/>
    <w:rsid w:val="005958C3"/>
    <w:rsid w:val="00597A55"/>
    <w:rsid w:val="005A223B"/>
    <w:rsid w:val="005A27F5"/>
    <w:rsid w:val="005A31D8"/>
    <w:rsid w:val="005B1815"/>
    <w:rsid w:val="005B6318"/>
    <w:rsid w:val="005B7866"/>
    <w:rsid w:val="005B78F7"/>
    <w:rsid w:val="005D1F8A"/>
    <w:rsid w:val="005E0D63"/>
    <w:rsid w:val="005F07D6"/>
    <w:rsid w:val="005F46B5"/>
    <w:rsid w:val="00616B18"/>
    <w:rsid w:val="00636769"/>
    <w:rsid w:val="00651DE2"/>
    <w:rsid w:val="0065702B"/>
    <w:rsid w:val="00662C48"/>
    <w:rsid w:val="006725DA"/>
    <w:rsid w:val="006753FA"/>
    <w:rsid w:val="00682205"/>
    <w:rsid w:val="006B331F"/>
    <w:rsid w:val="006B3E08"/>
    <w:rsid w:val="006F1B2D"/>
    <w:rsid w:val="006F3826"/>
    <w:rsid w:val="00751DD4"/>
    <w:rsid w:val="00752A1A"/>
    <w:rsid w:val="00757694"/>
    <w:rsid w:val="0076028F"/>
    <w:rsid w:val="007620D3"/>
    <w:rsid w:val="00784EFB"/>
    <w:rsid w:val="0079121A"/>
    <w:rsid w:val="0079483F"/>
    <w:rsid w:val="007D60AA"/>
    <w:rsid w:val="007E4AE8"/>
    <w:rsid w:val="007F15F0"/>
    <w:rsid w:val="00801573"/>
    <w:rsid w:val="008055B0"/>
    <w:rsid w:val="00817E71"/>
    <w:rsid w:val="008314D6"/>
    <w:rsid w:val="008314EE"/>
    <w:rsid w:val="00832CAB"/>
    <w:rsid w:val="00860F0D"/>
    <w:rsid w:val="00895EA1"/>
    <w:rsid w:val="008970D0"/>
    <w:rsid w:val="008B1F3D"/>
    <w:rsid w:val="008D5C05"/>
    <w:rsid w:val="008F47D8"/>
    <w:rsid w:val="008F79AB"/>
    <w:rsid w:val="00923823"/>
    <w:rsid w:val="00930C56"/>
    <w:rsid w:val="00965DCE"/>
    <w:rsid w:val="00966820"/>
    <w:rsid w:val="00976F85"/>
    <w:rsid w:val="009773C6"/>
    <w:rsid w:val="00982A99"/>
    <w:rsid w:val="00992CDD"/>
    <w:rsid w:val="009943AB"/>
    <w:rsid w:val="0099543D"/>
    <w:rsid w:val="009A6CC7"/>
    <w:rsid w:val="009B00D7"/>
    <w:rsid w:val="009D16A6"/>
    <w:rsid w:val="009D4380"/>
    <w:rsid w:val="009E0A4E"/>
    <w:rsid w:val="009E7A66"/>
    <w:rsid w:val="00A36B07"/>
    <w:rsid w:val="00A53A03"/>
    <w:rsid w:val="00A61282"/>
    <w:rsid w:val="00A73AF6"/>
    <w:rsid w:val="00A75816"/>
    <w:rsid w:val="00A80E42"/>
    <w:rsid w:val="00A84CCC"/>
    <w:rsid w:val="00A85E5A"/>
    <w:rsid w:val="00A9517A"/>
    <w:rsid w:val="00AA0696"/>
    <w:rsid w:val="00AA0853"/>
    <w:rsid w:val="00AB3BAE"/>
    <w:rsid w:val="00AD1ED4"/>
    <w:rsid w:val="00B05BFD"/>
    <w:rsid w:val="00B07612"/>
    <w:rsid w:val="00B15C45"/>
    <w:rsid w:val="00B24C7A"/>
    <w:rsid w:val="00B366A0"/>
    <w:rsid w:val="00B377CA"/>
    <w:rsid w:val="00B65D77"/>
    <w:rsid w:val="00B81679"/>
    <w:rsid w:val="00B84DD0"/>
    <w:rsid w:val="00B95172"/>
    <w:rsid w:val="00BB0527"/>
    <w:rsid w:val="00BF2C52"/>
    <w:rsid w:val="00C07187"/>
    <w:rsid w:val="00C20DC7"/>
    <w:rsid w:val="00C31D41"/>
    <w:rsid w:val="00C362D7"/>
    <w:rsid w:val="00C61220"/>
    <w:rsid w:val="00C8094D"/>
    <w:rsid w:val="00C97344"/>
    <w:rsid w:val="00CA46CD"/>
    <w:rsid w:val="00CB0722"/>
    <w:rsid w:val="00CE16E7"/>
    <w:rsid w:val="00CF242E"/>
    <w:rsid w:val="00CF2A86"/>
    <w:rsid w:val="00D15ABB"/>
    <w:rsid w:val="00D1628D"/>
    <w:rsid w:val="00D257B6"/>
    <w:rsid w:val="00D42DD4"/>
    <w:rsid w:val="00D64A0D"/>
    <w:rsid w:val="00D818EA"/>
    <w:rsid w:val="00D97636"/>
    <w:rsid w:val="00DB55F6"/>
    <w:rsid w:val="00DC64EC"/>
    <w:rsid w:val="00DD17E2"/>
    <w:rsid w:val="00DD2B14"/>
    <w:rsid w:val="00DD323F"/>
    <w:rsid w:val="00DD6247"/>
    <w:rsid w:val="00DE2C5F"/>
    <w:rsid w:val="00DE3E1E"/>
    <w:rsid w:val="00DF1F1A"/>
    <w:rsid w:val="00DF6062"/>
    <w:rsid w:val="00E03323"/>
    <w:rsid w:val="00E05A67"/>
    <w:rsid w:val="00E07135"/>
    <w:rsid w:val="00E12413"/>
    <w:rsid w:val="00E26976"/>
    <w:rsid w:val="00E36077"/>
    <w:rsid w:val="00E36BAC"/>
    <w:rsid w:val="00E720AB"/>
    <w:rsid w:val="00E819EF"/>
    <w:rsid w:val="00E8750D"/>
    <w:rsid w:val="00E90432"/>
    <w:rsid w:val="00E96A57"/>
    <w:rsid w:val="00E97BC8"/>
    <w:rsid w:val="00EB1437"/>
    <w:rsid w:val="00EB1C13"/>
    <w:rsid w:val="00EB2C5A"/>
    <w:rsid w:val="00EB7D2E"/>
    <w:rsid w:val="00EC153E"/>
    <w:rsid w:val="00EC205D"/>
    <w:rsid w:val="00EC7D67"/>
    <w:rsid w:val="00EE55C7"/>
    <w:rsid w:val="00EF1BB9"/>
    <w:rsid w:val="00EF344D"/>
    <w:rsid w:val="00F0383E"/>
    <w:rsid w:val="00F16577"/>
    <w:rsid w:val="00F24815"/>
    <w:rsid w:val="00F319E2"/>
    <w:rsid w:val="00F4392A"/>
    <w:rsid w:val="00F4741E"/>
    <w:rsid w:val="00F556B4"/>
    <w:rsid w:val="00F66624"/>
    <w:rsid w:val="00F818A9"/>
    <w:rsid w:val="00F907F8"/>
    <w:rsid w:val="00F90CAD"/>
    <w:rsid w:val="00F974AA"/>
    <w:rsid w:val="00FB1370"/>
    <w:rsid w:val="00FB6B06"/>
    <w:rsid w:val="00FC6CAA"/>
    <w:rsid w:val="685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CA6EB"/>
  <w15:chartTrackingRefBased/>
  <w15:docId w15:val="{8A8421D5-729C-4E4F-B959-A6B388CBCA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1F5C"/>
  </w:style>
  <w:style w:type="paragraph" w:styleId="Footer">
    <w:name w:val="footer"/>
    <w:basedOn w:val="Normal"/>
    <w:link w:val="FooterChar"/>
    <w:uiPriority w:val="99"/>
    <w:unhideWhenUsed/>
    <w:rsid w:val="00291F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1F5C"/>
  </w:style>
  <w:style w:type="paragraph" w:styleId="BalloonText">
    <w:name w:val="Balloon Text"/>
    <w:basedOn w:val="Normal"/>
    <w:link w:val="BalloonTextChar"/>
    <w:uiPriority w:val="99"/>
    <w:semiHidden/>
    <w:unhideWhenUsed/>
    <w:rsid w:val="0029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1F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00D7"/>
    <w:pPr>
      <w:spacing w:after="0" w:line="240" w:lineRule="auto"/>
    </w:pPr>
  </w:style>
  <w:style w:type="paragraph" w:styleId="Default" w:customStyle="1">
    <w:name w:val="Default"/>
    <w:rsid w:val="009B0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60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A6A5B"/>
    <w:rPr>
      <w:color w:val="0563C1" w:themeColor="hyperlink"/>
      <w:u w:val="single"/>
    </w:rPr>
  </w:style>
  <w:style w:type="character" w:styleId="Bold" w:customStyle="1">
    <w:name w:val="Bold"/>
    <w:basedOn w:val="DefaultParagraphFont"/>
    <w:uiPriority w:val="1"/>
    <w:qFormat/>
    <w:rsid w:val="00895EA1"/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uiPriority w:val="1"/>
    <w:qFormat/>
    <w:rsid w:val="00895EA1"/>
    <w:pPr>
      <w:spacing w:after="0" w:line="240" w:lineRule="auto"/>
    </w:pPr>
    <w:rPr>
      <w:rFonts w:ascii="Arial" w:hAnsi="Arial" w:eastAsia="MS ??" w:cs="Arial"/>
      <w:sz w:val="20"/>
      <w:szCs w:val="20"/>
      <w:lang w:val="en-GB"/>
    </w:rPr>
  </w:style>
  <w:style w:type="character" w:styleId="BodyTextChar" w:customStyle="1">
    <w:name w:val="Body Text Char"/>
    <w:basedOn w:val="DefaultParagraphFont"/>
    <w:link w:val="BodyText"/>
    <w:uiPriority w:val="1"/>
    <w:rsid w:val="00895EA1"/>
    <w:rPr>
      <w:rFonts w:ascii="Arial" w:hAnsi="Arial" w:eastAsia="MS ??" w:cs="Arial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976F85"/>
    <w:rPr>
      <w:i/>
      <w:iCs/>
    </w:rPr>
  </w:style>
  <w:style w:type="character" w:styleId="Strong">
    <w:name w:val="Strong"/>
    <w:basedOn w:val="DefaultParagraphFont"/>
    <w:uiPriority w:val="22"/>
    <w:qFormat/>
    <w:rsid w:val="00976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bishoustonhumanities.weebly.com/ib-geography.html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British International School of Houston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April Finch</dc:creator>
  <keywords/>
  <dc:description/>
  <lastModifiedBy>Anna Bennett</lastModifiedBy>
  <revision>5</revision>
  <lastPrinted>2018-03-07T13:54:00.0000000Z</lastPrinted>
  <dcterms:created xsi:type="dcterms:W3CDTF">2018-03-05T21:13:00.0000000Z</dcterms:created>
  <dcterms:modified xsi:type="dcterms:W3CDTF">2019-08-19T14:49:24.7467438Z</dcterms:modified>
</coreProperties>
</file>