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069"/>
        <w:gridCol w:w="2789"/>
        <w:gridCol w:w="2893"/>
        <w:gridCol w:w="3088"/>
        <w:gridCol w:w="3"/>
      </w:tblGrid>
      <w:tr w:rsidR="0019319B" w:rsidRPr="00186241" w:rsidTr="0019319B">
        <w:trPr>
          <w:trHeight w:val="117"/>
        </w:trPr>
        <w:tc>
          <w:tcPr>
            <w:tcW w:w="10842" w:type="dxa"/>
            <w:gridSpan w:val="5"/>
            <w:shd w:val="clear" w:color="auto" w:fill="E7E6E6" w:themeFill="background2"/>
          </w:tcPr>
          <w:p w:rsidR="0019319B" w:rsidRPr="00186241" w:rsidRDefault="0019319B" w:rsidP="00F314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86241">
              <w:rPr>
                <w:rFonts w:cstheme="minorHAnsi"/>
                <w:b/>
                <w:bCs/>
                <w:sz w:val="20"/>
                <w:szCs w:val="20"/>
              </w:rPr>
              <w:t>Compare and Contrasting Independence Movements</w:t>
            </w:r>
          </w:p>
        </w:tc>
      </w:tr>
      <w:tr w:rsidR="0019319B" w:rsidRPr="00186241" w:rsidTr="0019319B">
        <w:trPr>
          <w:gridAfter w:val="1"/>
          <w:trHeight w:val="541"/>
        </w:trPr>
        <w:tc>
          <w:tcPr>
            <w:tcW w:w="2069" w:type="dxa"/>
          </w:tcPr>
          <w:p w:rsidR="0019319B" w:rsidRPr="00186241" w:rsidRDefault="0019319B" w:rsidP="00F314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6241">
              <w:rPr>
                <w:rFonts w:cstheme="minorHAnsi"/>
                <w:b/>
                <w:bCs/>
                <w:sz w:val="20"/>
                <w:szCs w:val="20"/>
              </w:rPr>
              <w:t>Independence Movement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86241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India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86241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Cuba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86241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Ireland</w:t>
            </w:r>
          </w:p>
        </w:tc>
      </w:tr>
      <w:tr w:rsidR="0019319B" w:rsidRPr="00186241" w:rsidTr="0019319B">
        <w:trPr>
          <w:gridAfter w:val="1"/>
          <w:trHeight w:val="1214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Long term Historical Context: How does the long term history of each nation create a context for a rise in nationalism?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India before 1857: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Develop an understanding of the main developments in the Indian subcontinent before the 1857 rebellion.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Cuba before 1823: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Develop an understanding of the main developments in colonial Cuba before 1823 and the Monroe Doctrine.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Ireland before 1800: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Develop an understanding of the main developments in Ireland before the 1800 Act of Union.</w:t>
            </w:r>
          </w:p>
        </w:tc>
      </w:tr>
      <w:tr w:rsidR="0019319B" w:rsidRPr="00186241" w:rsidTr="0019319B">
        <w:trPr>
          <w:gridAfter w:val="1"/>
          <w:trHeight w:val="1214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Colonial period: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Social, political, economic, religious factors in creating a nationalist context.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causes and results of the 1857 rebellion and the development and rule of the British Raj.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effects of the Monroe Doctrine and the features of Spanish colonial Cuba 1823 - 1843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effects of the Act of Union on Ireland and the effects of British rule up to 1867.</w:t>
            </w:r>
          </w:p>
        </w:tc>
      </w:tr>
      <w:tr w:rsidR="0019319B" w:rsidRPr="00186241" w:rsidTr="0019319B">
        <w:trPr>
          <w:gridAfter w:val="1"/>
          <w:trHeight w:val="101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Rise of the Early Nationalist Movement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Chart the pearly, political movement from the earliest days up to 1914.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Chart the Early political, nationalist movement up to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Chart the Early political, nationalist movement up to</w:t>
            </w:r>
          </w:p>
        </w:tc>
      </w:tr>
      <w:tr w:rsidR="0019319B" w:rsidRPr="00186241" w:rsidTr="0019319B">
        <w:trPr>
          <w:gridAfter w:val="1"/>
          <w:trHeight w:val="81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Effects of War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 xml:space="preserve">The First World War 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Second World War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First War of Independence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Spanish American War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The First World War</w:t>
            </w:r>
          </w:p>
        </w:tc>
      </w:tr>
      <w:tr w:rsidR="0019319B" w:rsidRPr="00186241" w:rsidTr="0019319B">
        <w:trPr>
          <w:gridAfter w:val="1"/>
          <w:trHeight w:val="88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Independence movement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Key details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1920 - 1947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1843 - 1898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1867 - 1919</w:t>
            </w:r>
          </w:p>
        </w:tc>
      </w:tr>
      <w:tr w:rsidR="0019319B" w:rsidRPr="00186241" w:rsidTr="0019319B">
        <w:trPr>
          <w:gridAfter w:val="1"/>
          <w:trHeight w:val="1214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Methods used to gain independence: Peaceful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non –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non –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non –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</w:tr>
      <w:tr w:rsidR="0019319B" w:rsidRPr="00186241" w:rsidTr="0019319B">
        <w:trPr>
          <w:gridAfter w:val="1"/>
          <w:trHeight w:val="103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Methods used to gain independence: Violent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A summary of all violent tactics used.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 their success.</w:t>
            </w:r>
          </w:p>
        </w:tc>
      </w:tr>
      <w:tr w:rsidR="0019319B" w:rsidRPr="00186241" w:rsidTr="0019319B">
        <w:trPr>
          <w:gridAfter w:val="1"/>
          <w:trHeight w:val="69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Key Leader – the role of the individual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Gandhi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Marti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Collins/de Valera</w:t>
            </w:r>
          </w:p>
        </w:tc>
      </w:tr>
      <w:tr w:rsidR="0019319B" w:rsidRPr="00186241" w:rsidTr="0019319B">
        <w:trPr>
          <w:gridAfter w:val="1"/>
          <w:trHeight w:val="1214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Winning independence – reasons for success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1945 – 1947 – Key events in the gaining of Independence.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Evaluate: Reasons for success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1898 - 1902 – Key events in the gaining of Independence.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Evaluate: Reasons for success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1919 – 1922 – Key events in the gaining of Independence.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Evaluate: Reasons for success</w:t>
            </w:r>
          </w:p>
        </w:tc>
      </w:tr>
      <w:tr w:rsidR="0019319B" w:rsidRPr="00186241" w:rsidTr="0019319B">
        <w:trPr>
          <w:gridAfter w:val="1"/>
          <w:trHeight w:val="968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Challenges faced: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First 10 years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1947 - 1957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1898 – 1910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1922 - 1932</w:t>
            </w:r>
          </w:p>
        </w:tc>
      </w:tr>
      <w:tr w:rsidR="0019319B" w:rsidRPr="00186241" w:rsidTr="0019319B">
        <w:trPr>
          <w:gridAfter w:val="1"/>
          <w:trHeight w:val="1214"/>
        </w:trPr>
        <w:tc>
          <w:tcPr>
            <w:tcW w:w="2069" w:type="dxa"/>
            <w:shd w:val="clear" w:color="auto" w:fill="E7E6E6" w:themeFill="background2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Challenges faced:</w:t>
            </w:r>
          </w:p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Long term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1957 - onwards</w:t>
            </w:r>
          </w:p>
        </w:tc>
        <w:tc>
          <w:tcPr>
            <w:tcW w:w="2893" w:type="dxa"/>
            <w:shd w:val="clear" w:color="auto" w:fill="EFB4BD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1910 - onwards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9319B" w:rsidRPr="00186241" w:rsidRDefault="0019319B" w:rsidP="00F31466">
            <w:pPr>
              <w:rPr>
                <w:rFonts w:cstheme="minorHAnsi"/>
                <w:bCs/>
                <w:sz w:val="20"/>
                <w:szCs w:val="20"/>
              </w:rPr>
            </w:pPr>
            <w:r w:rsidRPr="00186241">
              <w:rPr>
                <w:rFonts w:cstheme="minorHAnsi"/>
                <w:bCs/>
                <w:sz w:val="20"/>
                <w:szCs w:val="20"/>
              </w:rPr>
              <w:t>1932 - onwards</w:t>
            </w:r>
          </w:p>
        </w:tc>
      </w:tr>
    </w:tbl>
    <w:p w:rsidR="003F0792" w:rsidRDefault="0019319B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9B"/>
    <w:rsid w:val="0019319B"/>
    <w:rsid w:val="002D6AAA"/>
    <w:rsid w:val="00631069"/>
    <w:rsid w:val="006F0748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3D8EF"/>
  <w14:defaultImageDpi w14:val="32767"/>
  <w15:chartTrackingRefBased/>
  <w15:docId w15:val="{943570DD-DDEA-A241-B33C-611965B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2018-04-17T01:59:00Z</dcterms:created>
  <dcterms:modified xsi:type="dcterms:W3CDTF">2018-04-17T02:01:00Z</dcterms:modified>
</cp:coreProperties>
</file>