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B68C" w14:textId="0BD62C45" w:rsidR="00CB0722" w:rsidRPr="00412071" w:rsidRDefault="00CB0722" w:rsidP="00CB072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Subject / Year Group:</w:t>
      </w:r>
      <w:r w:rsidR="00412071">
        <w:rPr>
          <w:b/>
          <w:sz w:val="32"/>
          <w:szCs w:val="32"/>
        </w:rPr>
        <w:tab/>
        <w:t xml:space="preserve"> </w:t>
      </w:r>
      <w:r w:rsidR="00412071">
        <w:rPr>
          <w:sz w:val="32"/>
          <w:szCs w:val="32"/>
        </w:rPr>
        <w:t xml:space="preserve">Year </w:t>
      </w:r>
      <w:r w:rsidR="00BE115F">
        <w:rPr>
          <w:sz w:val="32"/>
          <w:szCs w:val="32"/>
        </w:rPr>
        <w:t>10</w:t>
      </w:r>
      <w:r w:rsidR="00412071">
        <w:rPr>
          <w:sz w:val="32"/>
          <w:szCs w:val="32"/>
        </w:rPr>
        <w:t xml:space="preserve"> </w:t>
      </w:r>
      <w:r w:rsidR="000B7C01">
        <w:rPr>
          <w:sz w:val="32"/>
          <w:szCs w:val="32"/>
        </w:rPr>
        <w:t>Sociology</w:t>
      </w:r>
      <w:r w:rsidR="00682205">
        <w:rPr>
          <w:b/>
          <w:sz w:val="32"/>
          <w:szCs w:val="32"/>
        </w:rPr>
        <w:tab/>
      </w:r>
      <w:r w:rsidR="00682205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Unit:</w:t>
      </w:r>
      <w:r>
        <w:rPr>
          <w:b/>
          <w:sz w:val="32"/>
          <w:szCs w:val="32"/>
        </w:rPr>
        <w:t xml:space="preserve"> </w:t>
      </w:r>
      <w:r w:rsidR="000B7C01">
        <w:rPr>
          <w:sz w:val="32"/>
          <w:szCs w:val="32"/>
        </w:rPr>
        <w:t>1</w:t>
      </w:r>
    </w:p>
    <w:p w14:paraId="243BEA02" w14:textId="558E260B" w:rsidR="00CB0722" w:rsidRDefault="00CB0722" w:rsidP="00CB072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Title:</w:t>
      </w:r>
      <w:r>
        <w:rPr>
          <w:b/>
          <w:sz w:val="32"/>
          <w:szCs w:val="32"/>
        </w:rPr>
        <w:tab/>
      </w:r>
      <w:r w:rsidR="00682205">
        <w:rPr>
          <w:sz w:val="32"/>
          <w:szCs w:val="32"/>
        </w:rPr>
        <w:tab/>
      </w:r>
      <w:r w:rsidR="000B7C01">
        <w:rPr>
          <w:sz w:val="32"/>
          <w:szCs w:val="32"/>
        </w:rPr>
        <w:t>Theory and Methods</w:t>
      </w:r>
      <w:r w:rsidR="00682205">
        <w:rPr>
          <w:sz w:val="32"/>
          <w:szCs w:val="32"/>
        </w:rPr>
        <w:tab/>
      </w:r>
      <w:r w:rsidR="00412071">
        <w:rPr>
          <w:b/>
          <w:sz w:val="32"/>
          <w:szCs w:val="32"/>
        </w:rPr>
        <w:tab/>
      </w:r>
      <w:r w:rsidRPr="002A6A5B">
        <w:rPr>
          <w:b/>
          <w:sz w:val="32"/>
          <w:szCs w:val="32"/>
          <w:u w:val="single"/>
        </w:rPr>
        <w:t>Length of Unit:</w:t>
      </w:r>
      <w:r w:rsidR="00682205">
        <w:rPr>
          <w:sz w:val="32"/>
          <w:szCs w:val="32"/>
        </w:rPr>
        <w:t xml:space="preserve"> </w:t>
      </w:r>
      <w:r w:rsidR="000B7C01">
        <w:rPr>
          <w:sz w:val="32"/>
          <w:szCs w:val="32"/>
        </w:rPr>
        <w:t>8</w:t>
      </w:r>
      <w:r w:rsidR="00412071">
        <w:rPr>
          <w:sz w:val="32"/>
          <w:szCs w:val="32"/>
        </w:rPr>
        <w:t xml:space="preserve"> weeks</w:t>
      </w:r>
    </w:p>
    <w:p w14:paraId="567583C4" w14:textId="754CD13D" w:rsidR="00C13406" w:rsidRPr="00DE7866" w:rsidRDefault="00C13406" w:rsidP="00CB072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B0722" w14:paraId="25B9471A" w14:textId="77777777" w:rsidTr="00A37909">
        <w:trPr>
          <w:trHeight w:val="42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30CDD7"/>
          </w:tcPr>
          <w:p w14:paraId="298D1DB4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Summary of Unit</w:t>
            </w:r>
          </w:p>
        </w:tc>
      </w:tr>
      <w:tr w:rsidR="00CB0722" w14:paraId="607719CF" w14:textId="77777777" w:rsidTr="00600D73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13A0E74" w14:textId="536AC9EC" w:rsidR="000B7C01" w:rsidRDefault="000B7C01" w:rsidP="003E01EA">
            <w:r w:rsidRPr="000B7C01">
              <w:t xml:space="preserve">This </w:t>
            </w:r>
            <w:r>
              <w:t>fi</w:t>
            </w:r>
            <w:r w:rsidRPr="000B7C01">
              <w:t xml:space="preserve">rst unit provides a foundation for the other parts of the syllabus by considering the approaches and procedures used in sociological research. This provides a basis for understanding the uniquely sociological way of looking at society. It underpins and provides an understanding of each of the other study units. </w:t>
            </w:r>
            <w:r w:rsidR="003F1C1F">
              <w:t xml:space="preserve">Students will learn </w:t>
            </w:r>
            <w:r w:rsidR="00C77150">
              <w:t xml:space="preserve">different sociological theories such as Functionalism, Marxism and Feminism. </w:t>
            </w:r>
            <w:bookmarkStart w:id="0" w:name="_GoBack"/>
            <w:bookmarkEnd w:id="0"/>
          </w:p>
          <w:p w14:paraId="096AC793" w14:textId="50044375" w:rsidR="00CB0722" w:rsidRPr="000B7C01" w:rsidRDefault="00CB0722" w:rsidP="003E01EA"/>
        </w:tc>
      </w:tr>
      <w:tr w:rsidR="00CB0722" w14:paraId="4FA84E73" w14:textId="77777777" w:rsidTr="00600D73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5F802" w14:textId="77777777" w:rsidR="00CB0722" w:rsidRDefault="00CB0722" w:rsidP="00600D73"/>
        </w:tc>
      </w:tr>
      <w:tr w:rsidR="00CB0722" w14:paraId="6C9D6A8A" w14:textId="77777777" w:rsidTr="00600D73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30CDD7"/>
          </w:tcPr>
          <w:p w14:paraId="06D676EF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will progress be measured?</w:t>
            </w:r>
          </w:p>
        </w:tc>
      </w:tr>
      <w:tr w:rsidR="00CB0722" w14:paraId="66CDAC09" w14:textId="77777777" w:rsidTr="00600D73">
        <w:trPr>
          <w:trHeight w:val="88"/>
        </w:trPr>
        <w:tc>
          <w:tcPr>
            <w:tcW w:w="2965" w:type="dxa"/>
            <w:shd w:val="clear" w:color="auto" w:fill="30CDD7"/>
            <w:vAlign w:val="center"/>
          </w:tcPr>
          <w:p w14:paraId="6E0D276B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Diagnostic Assessment:</w:t>
            </w:r>
          </w:p>
        </w:tc>
        <w:tc>
          <w:tcPr>
            <w:tcW w:w="7825" w:type="dxa"/>
          </w:tcPr>
          <w:p w14:paraId="209DF506" w14:textId="4A92A59E" w:rsidR="00682205" w:rsidRDefault="000B7C01" w:rsidP="000013B7">
            <w:r>
              <w:t>Students will be given a source created from sociological research and a set of questions based on that source</w:t>
            </w:r>
            <w:r w:rsidR="009918D4">
              <w:t>.</w:t>
            </w:r>
            <w:r>
              <w:t xml:space="preserve"> This will test their ability to understand and interpret sources of data and will give them their first experience of answering the first question on their IGCSE exam.</w:t>
            </w:r>
          </w:p>
        </w:tc>
      </w:tr>
      <w:tr w:rsidR="00CB0722" w14:paraId="586D6E97" w14:textId="77777777" w:rsidTr="00600D73">
        <w:trPr>
          <w:trHeight w:val="86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30CDD7"/>
            <w:vAlign w:val="center"/>
          </w:tcPr>
          <w:p w14:paraId="7B4DD2B2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Formative Assessment: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322F3768" w14:textId="6D3012EC" w:rsidR="00682205" w:rsidRDefault="0067006A" w:rsidP="0067006A">
            <w:r>
              <w:t xml:space="preserve">Students will partake in discussions and </w:t>
            </w:r>
            <w:r w:rsidR="000C203B">
              <w:t xml:space="preserve">give presentations </w:t>
            </w:r>
            <w:r>
              <w:t xml:space="preserve">on new knowledge that they have gained and on </w:t>
            </w:r>
            <w:r w:rsidR="000C203B">
              <w:t>the key questions</w:t>
            </w:r>
            <w:r>
              <w:t xml:space="preserve"> which come into the topic</w:t>
            </w:r>
            <w:r w:rsidR="000C203B">
              <w:t>. Feedback will be given both by peers and the teacher either verbally or in written comments.</w:t>
            </w:r>
          </w:p>
        </w:tc>
      </w:tr>
      <w:tr w:rsidR="00CB0722" w14:paraId="45BF1C07" w14:textId="77777777" w:rsidTr="00600D73">
        <w:trPr>
          <w:trHeight w:val="86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30CDD7"/>
            <w:vAlign w:val="center"/>
          </w:tcPr>
          <w:p w14:paraId="79388093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Summative Assessment: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440CCAC6" w14:textId="3F3E56A1" w:rsidR="00CB0722" w:rsidRDefault="00F7692C" w:rsidP="00682205">
            <w:r>
              <w:t>Students will sit an end of unit exam with a structure and f</w:t>
            </w:r>
            <w:r w:rsidR="00A753A5">
              <w:t xml:space="preserve">ormat which mirrors that of the </w:t>
            </w:r>
            <w:r>
              <w:t xml:space="preserve">part of the real IGCSE </w:t>
            </w:r>
            <w:r w:rsidR="00C13406">
              <w:t>Sociology</w:t>
            </w:r>
            <w:r w:rsidR="00636D7F">
              <w:t xml:space="preserve"> paper which examines </w:t>
            </w:r>
            <w:proofErr w:type="gramStart"/>
            <w:r w:rsidR="00636D7F">
              <w:t>candidates</w:t>
            </w:r>
            <w:proofErr w:type="gramEnd"/>
            <w:r w:rsidR="00636D7F">
              <w:t xml:space="preserve"> knowledge on this</w:t>
            </w:r>
            <w:r w:rsidR="00A753A5">
              <w:t xml:space="preserve"> unit.</w:t>
            </w:r>
          </w:p>
          <w:p w14:paraId="4240A9CE" w14:textId="0D948593" w:rsidR="00682205" w:rsidRDefault="0032714A" w:rsidP="00682205">
            <w:r>
              <w:t xml:space="preserve"> </w:t>
            </w:r>
          </w:p>
        </w:tc>
      </w:tr>
      <w:tr w:rsidR="00CB0722" w14:paraId="3CD1791D" w14:textId="77777777" w:rsidTr="00600D73">
        <w:trPr>
          <w:trHeight w:val="86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30A5D" w14:textId="2C2971EA" w:rsidR="00CB0722" w:rsidRDefault="00CB0722" w:rsidP="00600D73"/>
        </w:tc>
      </w:tr>
      <w:tr w:rsidR="00CB0722" w14:paraId="2899A1D2" w14:textId="77777777" w:rsidTr="00600D73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30CDD7"/>
          </w:tcPr>
          <w:p w14:paraId="4B201385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 Available</w:t>
            </w:r>
          </w:p>
        </w:tc>
      </w:tr>
      <w:tr w:rsidR="00CB0722" w14:paraId="24ED234A" w14:textId="77777777" w:rsidTr="0032714A">
        <w:trPr>
          <w:trHeight w:val="818"/>
        </w:trPr>
        <w:tc>
          <w:tcPr>
            <w:tcW w:w="2965" w:type="dxa"/>
            <w:shd w:val="clear" w:color="auto" w:fill="30CDD7"/>
            <w:vAlign w:val="center"/>
          </w:tcPr>
          <w:p w14:paraId="28E1BA3A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Useful resources:</w:t>
            </w:r>
          </w:p>
        </w:tc>
        <w:tc>
          <w:tcPr>
            <w:tcW w:w="7825" w:type="dxa"/>
          </w:tcPr>
          <w:p w14:paraId="45DB7FC5" w14:textId="55699630" w:rsidR="00D257B6" w:rsidRDefault="00C13406" w:rsidP="00600D73">
            <w:r>
              <w:t>BISH Humanities website</w:t>
            </w:r>
            <w:r w:rsidR="00D257B6">
              <w:t xml:space="preserve">: </w:t>
            </w:r>
            <w:r w:rsidR="00A75D45">
              <w:t xml:space="preserve"> </w:t>
            </w:r>
            <w:r w:rsidR="00A75D45" w:rsidRPr="00A75D45">
              <w:t>http://www.</w:t>
            </w:r>
            <w:r>
              <w:t>bishoustonhumanities.net</w:t>
            </w:r>
          </w:p>
          <w:p w14:paraId="1A33CE06" w14:textId="03955D56" w:rsidR="00D257B6" w:rsidRDefault="00C13406" w:rsidP="00600D73">
            <w:hyperlink r:id="rId6" w:history="1">
              <w:r w:rsidRPr="005A6355">
                <w:rPr>
                  <w:rStyle w:val="Hyperlink"/>
                </w:rPr>
                <w:t>http://www.sociologyonline.co.uk</w:t>
              </w:r>
            </w:hyperlink>
          </w:p>
          <w:p w14:paraId="76B1FABD" w14:textId="6697319E" w:rsidR="00C13406" w:rsidRDefault="00C13406" w:rsidP="00600D73">
            <w:r w:rsidRPr="00C13406">
              <w:t>https://www.sociology.org</w:t>
            </w:r>
          </w:p>
        </w:tc>
      </w:tr>
      <w:tr w:rsidR="00CB0722" w14:paraId="2FD8F479" w14:textId="77777777" w:rsidTr="005E0D63">
        <w:trPr>
          <w:trHeight w:val="86"/>
        </w:trPr>
        <w:tc>
          <w:tcPr>
            <w:tcW w:w="2965" w:type="dxa"/>
            <w:shd w:val="clear" w:color="auto" w:fill="30CDD7"/>
            <w:vAlign w:val="center"/>
          </w:tcPr>
          <w:p w14:paraId="386FA6D3" w14:textId="00A54ACB" w:rsidR="00CB0722" w:rsidRPr="008D5C05" w:rsidRDefault="00CB0722" w:rsidP="00600D73">
            <w:pPr>
              <w:jc w:val="center"/>
              <w:rPr>
                <w:sz w:val="24"/>
              </w:rPr>
            </w:pPr>
          </w:p>
          <w:p w14:paraId="2E5FB76F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 Contacts</w:t>
            </w:r>
            <w:r w:rsidRPr="008D5C05">
              <w:rPr>
                <w:sz w:val="24"/>
              </w:rPr>
              <w:t>:</w:t>
            </w:r>
          </w:p>
          <w:p w14:paraId="290CDB71" w14:textId="77777777" w:rsidR="00CB0722" w:rsidRPr="008D5C05" w:rsidRDefault="00CB0722" w:rsidP="00600D73">
            <w:pPr>
              <w:rPr>
                <w:sz w:val="24"/>
              </w:rPr>
            </w:pPr>
          </w:p>
        </w:tc>
        <w:tc>
          <w:tcPr>
            <w:tcW w:w="7825" w:type="dxa"/>
            <w:vAlign w:val="center"/>
          </w:tcPr>
          <w:p w14:paraId="7C0D934D" w14:textId="5A3AB2AB" w:rsidR="00CB0722" w:rsidRDefault="000B7C01" w:rsidP="0067310F">
            <w:proofErr w:type="spellStart"/>
            <w:r>
              <w:t>guto.jones@houston.nae.school</w:t>
            </w:r>
            <w:proofErr w:type="spellEnd"/>
          </w:p>
        </w:tc>
      </w:tr>
    </w:tbl>
    <w:p w14:paraId="4CAA9BCF" w14:textId="0F79A1BD" w:rsidR="002A6A5B" w:rsidRPr="00CB0722" w:rsidRDefault="00D257B6" w:rsidP="00CB0722">
      <w:r>
        <w:t xml:space="preserve"> </w:t>
      </w:r>
    </w:p>
    <w:sectPr w:rsidR="002A6A5B" w:rsidRPr="00CB0722" w:rsidSect="004264DB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E9BA" w14:textId="77777777" w:rsidR="00315AC1" w:rsidRDefault="00315AC1" w:rsidP="00291F5C">
      <w:pPr>
        <w:spacing w:after="0" w:line="240" w:lineRule="auto"/>
      </w:pPr>
      <w:r>
        <w:separator/>
      </w:r>
    </w:p>
  </w:endnote>
  <w:endnote w:type="continuationSeparator" w:id="0">
    <w:p w14:paraId="35D03E91" w14:textId="77777777" w:rsidR="00315AC1" w:rsidRDefault="00315AC1" w:rsidP="002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4EA7" w14:textId="77777777" w:rsidR="004264DB" w:rsidRDefault="004264D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968A41" wp14:editId="1742BF99">
              <wp:simplePos x="0" y="0"/>
              <wp:positionH relativeFrom="column">
                <wp:posOffset>-57150</wp:posOffset>
              </wp:positionH>
              <wp:positionV relativeFrom="paragraph">
                <wp:posOffset>83820</wp:posOffset>
              </wp:positionV>
              <wp:extent cx="133350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B4171" w14:textId="77777777" w:rsidR="004264DB" w:rsidRPr="00965DCE" w:rsidRDefault="004264DB" w:rsidP="004264DB">
                          <w:pPr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</w:pPr>
                          <w:r w:rsidRPr="00965DCE"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  <w:t>www.bishouston.org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68A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5pt;margin-top:6.6pt;width:10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QTiIQIAACIEAAAOAAAAZHJzL2Uyb0RvYy54bWysU9tu2zAMfR+wfxD0vthx4rU14hRdugwD&#13;&#10;ugvQ7gNkWY6FSaImKbGzrx8lp2m2vQ3zgyCa5OHhIbW6HbUiB+G8BFPT+SynRBgOrTS7mn572r65&#13;&#10;psQHZlqmwIiaHoWnt+vXr1aDrUQBPahWOIIgxleDrWkfgq2yzPNeaOZnYIVBZwdOs4Cm22WtYwOi&#13;&#10;a5UVef42G8C11gEX3uPf+8lJ1wm/6wQPX7rOi0BUTZFbSKdLZxPPbL1i1c4x20t+osH+gYVm0mDR&#13;&#10;M9Q9C4zsnfwLSkvuwEMXZhx0Bl0nuUg9YDfz/I9uHntmReoFxfH2LJP/f7D88+GrI7KtaUmJYRpH&#13;&#10;9CTGQN7BSIqozmB9hUGPFsPCiL9xyqlTbx+Af/fEwKZnZifunIOhF6xFdvOYmV2kTjg+gjTDJ2ix&#13;&#10;DNsHSEBj53SUDsUgiI5TOp4nE6nwWHKxWJQ5ujj6ipuyuCpTCVY9Z1vnwwcBmsRLTR1OPqGzw4MP&#13;&#10;kQ2rnkNiMQ9KtlupVDLcrtkoRw4Mt2SbvhP6b2HKkKGmWLxMyAZiflogLQNusZK6ptd5/GI6q6Ia&#13;&#10;702b7oFJNd2RiTIneaIikzZhbMY0h6RdlK6B9oh6OZiWFh8ZXnpwPykZcGFr6n/smROUqI8GNb+Z&#13;&#10;L5dxw5OxLK8KNNylp7n0MMMRqqaBkum6CelVRNoG7nA2nUyyvTA5UcZFTGqeHk3c9Es7Rb087fUv&#13;&#10;AAAA//8DAFBLAwQUAAYACAAAACEA0aLjHOIAAAANAQAADwAAAGRycy9kb3ducmV2LnhtbEyPzW6D&#13;&#10;MBCE75X6DtZG6qVKTGgTCsFE/VGrXpPmARbsAApeI+wE8vbdnprLSjujnZ0v3062Excz+NaRguUi&#13;&#10;AmGocrqlWsHh53P+AsIHJI2dI6Pgajxsi/u7HDPtRtqZyz7UgkPIZ6igCaHPpPRVYyz6hesNsXd0&#13;&#10;g8XA61BLPeDI4baTcRStpcWW+EODvXlvTHXan62C4/f4uErH8isckt3z+g3bpHRXpR5m08eGx+sG&#13;&#10;RDBT+L+APwbuDwUXK92ZtBedgnnKPIH1pxgE+3G0ZKFUsEoTkEUubymKXwAAAP//AwBQSwECLQAU&#13;&#10;AAYACAAAACEAtoM4kv4AAADhAQAAEwAAAAAAAAAAAAAAAAAAAAAAW0NvbnRlbnRfVHlwZXNdLnht&#13;&#10;bFBLAQItABQABgAIAAAAIQA4/SH/1gAAAJQBAAALAAAAAAAAAAAAAAAAAC8BAABfcmVscy8ucmVs&#13;&#10;c1BLAQItABQABgAIAAAAIQD8IQTiIQIAACIEAAAOAAAAAAAAAAAAAAAAAC4CAABkcnMvZTJvRG9j&#13;&#10;LnhtbFBLAQItABQABgAIAAAAIQDRouMc4gAAAA0BAAAPAAAAAAAAAAAAAAAAAHsEAABkcnMvZG93&#13;&#10;bnJldi54bWxQSwUGAAAAAAQABADzAAAAigUAAAAA&#13;&#10;" stroked="f">
              <v:textbox>
                <w:txbxContent>
                  <w:p w14:paraId="613B4171" w14:textId="77777777" w:rsidR="004264DB" w:rsidRPr="00965DCE" w:rsidRDefault="004264DB" w:rsidP="004264DB">
                    <w:pPr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</w:pPr>
                    <w:r w:rsidRPr="00965DCE"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  <w:t>www.bishouston.org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CF4ABC" w14:textId="77777777" w:rsidR="004264DB" w:rsidRDefault="0042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4A0E" w14:textId="77777777" w:rsidR="00315AC1" w:rsidRDefault="00315AC1" w:rsidP="00291F5C">
      <w:pPr>
        <w:spacing w:after="0" w:line="240" w:lineRule="auto"/>
      </w:pPr>
      <w:r>
        <w:separator/>
      </w:r>
    </w:p>
  </w:footnote>
  <w:footnote w:type="continuationSeparator" w:id="0">
    <w:p w14:paraId="5E2A1CAB" w14:textId="77777777" w:rsidR="00315AC1" w:rsidRDefault="00315AC1" w:rsidP="0029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2895" w14:textId="77777777" w:rsidR="00291F5C" w:rsidRDefault="0002334C" w:rsidP="00B24C7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7172E2" wp14:editId="64514275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2590800" cy="733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D1E34" w14:textId="77777777" w:rsidR="00B24C7A" w:rsidRPr="004264DB" w:rsidRDefault="00757694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2203 N. </w:t>
                          </w:r>
                          <w:proofErr w:type="spellStart"/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Westgreen</w:t>
                          </w:r>
                          <w:proofErr w:type="spellEnd"/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Blvd, Katy, Texas 77449</w:t>
                          </w:r>
                        </w:p>
                        <w:p w14:paraId="503CB7FC" w14:textId="77777777" w:rsidR="00B24C7A" w:rsidRDefault="004264DB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T:</w:t>
                          </w:r>
                          <w:r w:rsidR="00B24C7A" w:rsidRPr="004264D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713.290.9025</w:t>
                          </w:r>
                        </w:p>
                        <w:p w14:paraId="446B2B91" w14:textId="77777777" w:rsidR="00E96A57" w:rsidRPr="004264DB" w:rsidRDefault="00E96A57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E: Admin@bishouston.org</w:t>
                          </w:r>
                        </w:p>
                        <w:p w14:paraId="5E733E87" w14:textId="77777777" w:rsidR="00B24C7A" w:rsidRDefault="00B24C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172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8pt;margin-top:-55.65pt;width:204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dxiIAIAAB0EAAAOAAAAZHJzL2Uyb0RvYy54bWysU81u2zAMvg/YOwi6L3bcZG2MOEWXLsOA&#13;&#10;7gdo9wCMLMfCJNGTlNjZ04+S0zTbbsN0EEiR/Eh+pJa3g9HsIJ1XaCs+neScSSuwVnZX8W9Pmzc3&#13;&#10;nPkAtgaNVlb8KD2/Xb1+tey7UhbYoq6lYwRifdl3FW9D6Mos86KVBvwEO2nJ2KAzEEh1u6x20BO6&#13;&#10;0VmR52+zHl3dORTSe3q9H418lfCbRorwpWm8DExXnGoL6Xbp3sY7Wy2h3DnoWiVOZcA/VGFAWUp6&#13;&#10;hrqHAGzv1F9QRgmHHpswEWgybBolZOqBupnmf3Tz2EInUy9Eju/ONPn/Bys+H746puqKF9NrziwY&#13;&#10;GtKTHAJ7hwMrIj9950tye+zIMQz0THNOvfruAcV3zyyuW7A7eecc9q2EmuqbxsjsInTE8RFk23/C&#13;&#10;mtLAPmACGhpnInlEByN0mtPxPJtYiqDHYr7Ib3IyCbJdX13NinlKAeVzdOd8+CDRsChU3NHsEzoc&#13;&#10;HnyI1UD57BKTedSq3iitk+J227V27AC0J5t0Tui/uWnL+oov5pQ7RlmM8WmFjAq0x1qZilOVdGI4&#13;&#10;lJGN97ZOcgClR5kq0fZET2Rk5CYM24EcI2dbrI9ElMNxX+l/kdCi+8lZT7tacf9jD05ypj9aInsx&#13;&#10;nc3icidlNr8uSHGXlu2lBawgqIoHzkZxHdKHGDu6o6E0KvH1UsmpVtrBROPpv8Qlv9ST18uvXv0C&#13;&#10;AAD//wMAUEsDBBQABgAIAAAAIQAG3ikX4AAAAAwBAAAPAAAAZHJzL2Rvd25yZXYueG1sTI9NbsJA&#13;&#10;DIX3lXqHkZG6qWASSoGGTFB/VNQtlAM4iUkiMp4oM5Bw+7qrdmPZfvLz+9LtaFt1pd43jg3EswgU&#13;&#10;ceHKhisDx+/P6RqUD8glto7JwI08bLP7uxST0g28p+shVEpM2CdooA6hS7T2RU0W/cx1xKKdXG8x&#13;&#10;yNhXuuxxEHPb6nkULbXFhuVDjR2911ScDxdr4PQ1PD6/DPkuHFf7xfINm1XubsY8TMaPjZTXDahA&#13;&#10;Y/i7gF8GyQ+ZBMvdhUuvWgNCEwxM4zh+AiX6IlrLKpdmDjpL9X+I7AcAAP//AwBQSwECLQAUAAYA&#13;&#10;CAAAACEAtoM4kv4AAADhAQAAEwAAAAAAAAAAAAAAAAAAAAAAW0NvbnRlbnRfVHlwZXNdLnhtbFBL&#13;&#10;AQItABQABgAIAAAAIQA4/SH/1gAAAJQBAAALAAAAAAAAAAAAAAAAAC8BAABfcmVscy8ucmVsc1BL&#13;&#10;AQItABQABgAIAAAAIQA43dxiIAIAAB0EAAAOAAAAAAAAAAAAAAAAAC4CAABkcnMvZTJvRG9jLnht&#13;&#10;bFBLAQItABQABgAIAAAAIQAG3ikX4AAAAAwBAAAPAAAAAAAAAAAAAAAAAHoEAABkcnMvZG93bnJl&#13;&#10;di54bWxQSwUGAAAAAAQABADzAAAAhwUAAAAA&#13;&#10;" stroked="f">
              <v:textbox>
                <w:txbxContent>
                  <w:p w14:paraId="76BD1E34" w14:textId="77777777" w:rsidR="00B24C7A" w:rsidRPr="004264DB" w:rsidRDefault="00757694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2203 N. </w:t>
                    </w:r>
                    <w:proofErr w:type="spellStart"/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Westgreen</w:t>
                    </w:r>
                    <w:proofErr w:type="spellEnd"/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Blvd, Katy, Texas 77449</w:t>
                    </w:r>
                  </w:p>
                  <w:p w14:paraId="503CB7FC" w14:textId="77777777" w:rsidR="00B24C7A" w:rsidRDefault="004264DB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T:</w:t>
                    </w:r>
                    <w:r w:rsidR="00B24C7A" w:rsidRPr="004264DB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713.290.9025</w:t>
                    </w:r>
                  </w:p>
                  <w:p w14:paraId="446B2B91" w14:textId="77777777" w:rsidR="00E96A57" w:rsidRPr="004264DB" w:rsidRDefault="00E96A57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E: Admin@bishouston.org</w:t>
                    </w:r>
                  </w:p>
                  <w:p w14:paraId="5E733E87" w14:textId="77777777" w:rsidR="00B24C7A" w:rsidRDefault="00B24C7A"/>
                </w:txbxContent>
              </v:textbox>
              <w10:wrap type="square" anchorx="margin"/>
            </v:shape>
          </w:pict>
        </mc:Fallback>
      </mc:AlternateContent>
    </w:r>
    <w:r w:rsidR="00B24C7A">
      <w:rPr>
        <w:noProof/>
      </w:rPr>
      <w:t xml:space="preserve"> </w:t>
    </w:r>
    <w:r w:rsidR="0016180A" w:rsidRPr="0016180A">
      <w:rPr>
        <w:noProof/>
      </w:rPr>
      <w:drawing>
        <wp:inline distT="0" distB="0" distL="0" distR="0" wp14:anchorId="1C6F7419" wp14:editId="7AC5A4A4">
          <wp:extent cx="6702552" cy="448056"/>
          <wp:effectExtent l="0" t="0" r="317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5" t="478" r="76221" b="1"/>
                  <a:stretch/>
                </pic:blipFill>
                <pic:spPr bwMode="auto">
                  <a:xfrm>
                    <a:off x="0" y="0"/>
                    <a:ext cx="670255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1F5C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1" layoutInCell="1" allowOverlap="1" wp14:anchorId="0B4A2550" wp14:editId="368619BF">
          <wp:simplePos x="0" y="0"/>
          <wp:positionH relativeFrom="page">
            <wp:posOffset>582295</wp:posOffset>
          </wp:positionH>
          <wp:positionV relativeFrom="page">
            <wp:posOffset>217805</wp:posOffset>
          </wp:positionV>
          <wp:extent cx="4059555" cy="877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5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2E45A" w14:textId="77777777" w:rsidR="00291F5C" w:rsidRDefault="00291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5C"/>
    <w:rsid w:val="000013B7"/>
    <w:rsid w:val="00002954"/>
    <w:rsid w:val="0002056C"/>
    <w:rsid w:val="00020DD5"/>
    <w:rsid w:val="0002334C"/>
    <w:rsid w:val="000338C0"/>
    <w:rsid w:val="00045AAD"/>
    <w:rsid w:val="00053A3F"/>
    <w:rsid w:val="000666F3"/>
    <w:rsid w:val="000840EA"/>
    <w:rsid w:val="000A7CC8"/>
    <w:rsid w:val="000B7C01"/>
    <w:rsid w:val="000C203B"/>
    <w:rsid w:val="000C4337"/>
    <w:rsid w:val="000E13DD"/>
    <w:rsid w:val="000F731A"/>
    <w:rsid w:val="00112EE3"/>
    <w:rsid w:val="001144DF"/>
    <w:rsid w:val="001163AA"/>
    <w:rsid w:val="0014290A"/>
    <w:rsid w:val="001452E9"/>
    <w:rsid w:val="0014598B"/>
    <w:rsid w:val="0016180A"/>
    <w:rsid w:val="00163B4F"/>
    <w:rsid w:val="00165E4D"/>
    <w:rsid w:val="00171D00"/>
    <w:rsid w:val="001C0AF6"/>
    <w:rsid w:val="001D22C3"/>
    <w:rsid w:val="001D74D9"/>
    <w:rsid w:val="001F3720"/>
    <w:rsid w:val="00221C19"/>
    <w:rsid w:val="00224D53"/>
    <w:rsid w:val="0023250F"/>
    <w:rsid w:val="00257E0B"/>
    <w:rsid w:val="00262245"/>
    <w:rsid w:val="00290F01"/>
    <w:rsid w:val="00291F5C"/>
    <w:rsid w:val="00295D13"/>
    <w:rsid w:val="002A4F56"/>
    <w:rsid w:val="002A6A5B"/>
    <w:rsid w:val="002B67B9"/>
    <w:rsid w:val="002B7B03"/>
    <w:rsid w:val="002C49B7"/>
    <w:rsid w:val="002D0198"/>
    <w:rsid w:val="002E2241"/>
    <w:rsid w:val="00306F1C"/>
    <w:rsid w:val="00310197"/>
    <w:rsid w:val="00315AC1"/>
    <w:rsid w:val="0032198B"/>
    <w:rsid w:val="0032714A"/>
    <w:rsid w:val="0033034B"/>
    <w:rsid w:val="00373CA5"/>
    <w:rsid w:val="003A7962"/>
    <w:rsid w:val="003C55D1"/>
    <w:rsid w:val="003C7975"/>
    <w:rsid w:val="003E01EA"/>
    <w:rsid w:val="003E4718"/>
    <w:rsid w:val="003F1C1F"/>
    <w:rsid w:val="003F542C"/>
    <w:rsid w:val="00412071"/>
    <w:rsid w:val="00420B80"/>
    <w:rsid w:val="004264DB"/>
    <w:rsid w:val="00434E8F"/>
    <w:rsid w:val="00460A14"/>
    <w:rsid w:val="004736C5"/>
    <w:rsid w:val="00474B0A"/>
    <w:rsid w:val="00481B53"/>
    <w:rsid w:val="004831CF"/>
    <w:rsid w:val="0048513D"/>
    <w:rsid w:val="004C4ACA"/>
    <w:rsid w:val="004C4C18"/>
    <w:rsid w:val="004C733F"/>
    <w:rsid w:val="004E3DE3"/>
    <w:rsid w:val="004F3F89"/>
    <w:rsid w:val="00502B29"/>
    <w:rsid w:val="005073D8"/>
    <w:rsid w:val="00561011"/>
    <w:rsid w:val="005713B2"/>
    <w:rsid w:val="00571D64"/>
    <w:rsid w:val="005958C3"/>
    <w:rsid w:val="00597A55"/>
    <w:rsid w:val="005A27F5"/>
    <w:rsid w:val="005A31D8"/>
    <w:rsid w:val="005B0AD0"/>
    <w:rsid w:val="005B1815"/>
    <w:rsid w:val="005B6318"/>
    <w:rsid w:val="005B78F7"/>
    <w:rsid w:val="005C09C9"/>
    <w:rsid w:val="005D1F8A"/>
    <w:rsid w:val="005E0D63"/>
    <w:rsid w:val="005F07D6"/>
    <w:rsid w:val="005F46B5"/>
    <w:rsid w:val="00616B18"/>
    <w:rsid w:val="00636D7F"/>
    <w:rsid w:val="006628E6"/>
    <w:rsid w:val="00662C48"/>
    <w:rsid w:val="0067006A"/>
    <w:rsid w:val="006725DA"/>
    <w:rsid w:val="0067310F"/>
    <w:rsid w:val="006753FA"/>
    <w:rsid w:val="00682205"/>
    <w:rsid w:val="006F3826"/>
    <w:rsid w:val="00704056"/>
    <w:rsid w:val="00757694"/>
    <w:rsid w:val="0076028F"/>
    <w:rsid w:val="00761973"/>
    <w:rsid w:val="007620D3"/>
    <w:rsid w:val="00784EFB"/>
    <w:rsid w:val="0079121A"/>
    <w:rsid w:val="0079483F"/>
    <w:rsid w:val="007D60AA"/>
    <w:rsid w:val="007F15F0"/>
    <w:rsid w:val="00801573"/>
    <w:rsid w:val="00806599"/>
    <w:rsid w:val="00817E71"/>
    <w:rsid w:val="008314D6"/>
    <w:rsid w:val="008314EE"/>
    <w:rsid w:val="00832CAB"/>
    <w:rsid w:val="00860F0D"/>
    <w:rsid w:val="008970D0"/>
    <w:rsid w:val="008B1F3D"/>
    <w:rsid w:val="008D5C05"/>
    <w:rsid w:val="008F79AB"/>
    <w:rsid w:val="009225A1"/>
    <w:rsid w:val="00923823"/>
    <w:rsid w:val="00930C56"/>
    <w:rsid w:val="00965DCE"/>
    <w:rsid w:val="00966820"/>
    <w:rsid w:val="009773C6"/>
    <w:rsid w:val="00982A99"/>
    <w:rsid w:val="009918D4"/>
    <w:rsid w:val="00992CDD"/>
    <w:rsid w:val="009943AB"/>
    <w:rsid w:val="0099543D"/>
    <w:rsid w:val="009A6CC7"/>
    <w:rsid w:val="009B00D7"/>
    <w:rsid w:val="009D4380"/>
    <w:rsid w:val="009E0A4E"/>
    <w:rsid w:val="009E7A66"/>
    <w:rsid w:val="00A37909"/>
    <w:rsid w:val="00A53A03"/>
    <w:rsid w:val="00A61282"/>
    <w:rsid w:val="00A73AF6"/>
    <w:rsid w:val="00A753A5"/>
    <w:rsid w:val="00A75816"/>
    <w:rsid w:val="00A75D45"/>
    <w:rsid w:val="00A80E42"/>
    <w:rsid w:val="00A84CCC"/>
    <w:rsid w:val="00AA0696"/>
    <w:rsid w:val="00AA0853"/>
    <w:rsid w:val="00AD1ED4"/>
    <w:rsid w:val="00AD3ABA"/>
    <w:rsid w:val="00B05BFD"/>
    <w:rsid w:val="00B07612"/>
    <w:rsid w:val="00B15C45"/>
    <w:rsid w:val="00B24C7A"/>
    <w:rsid w:val="00B366A0"/>
    <w:rsid w:val="00B377CA"/>
    <w:rsid w:val="00B4425F"/>
    <w:rsid w:val="00B81679"/>
    <w:rsid w:val="00B84DD0"/>
    <w:rsid w:val="00B95172"/>
    <w:rsid w:val="00BB0527"/>
    <w:rsid w:val="00BE115F"/>
    <w:rsid w:val="00C07187"/>
    <w:rsid w:val="00C13406"/>
    <w:rsid w:val="00C20DC7"/>
    <w:rsid w:val="00C31D41"/>
    <w:rsid w:val="00C61220"/>
    <w:rsid w:val="00C77150"/>
    <w:rsid w:val="00C8094D"/>
    <w:rsid w:val="00C97344"/>
    <w:rsid w:val="00CB0722"/>
    <w:rsid w:val="00CD1990"/>
    <w:rsid w:val="00CE16E7"/>
    <w:rsid w:val="00CF242E"/>
    <w:rsid w:val="00D15ABB"/>
    <w:rsid w:val="00D1628D"/>
    <w:rsid w:val="00D257B6"/>
    <w:rsid w:val="00D42DD4"/>
    <w:rsid w:val="00D64A0D"/>
    <w:rsid w:val="00D818EA"/>
    <w:rsid w:val="00D97636"/>
    <w:rsid w:val="00DD17E2"/>
    <w:rsid w:val="00DD6247"/>
    <w:rsid w:val="00DE3E1E"/>
    <w:rsid w:val="00DF6062"/>
    <w:rsid w:val="00E03323"/>
    <w:rsid w:val="00E05A67"/>
    <w:rsid w:val="00E36077"/>
    <w:rsid w:val="00E46849"/>
    <w:rsid w:val="00E711D8"/>
    <w:rsid w:val="00E819EF"/>
    <w:rsid w:val="00E8750D"/>
    <w:rsid w:val="00E90432"/>
    <w:rsid w:val="00E96A57"/>
    <w:rsid w:val="00EA493E"/>
    <w:rsid w:val="00EB1C13"/>
    <w:rsid w:val="00EB2C5A"/>
    <w:rsid w:val="00EC204A"/>
    <w:rsid w:val="00EC205D"/>
    <w:rsid w:val="00EC7D67"/>
    <w:rsid w:val="00EF1BB9"/>
    <w:rsid w:val="00EF344D"/>
    <w:rsid w:val="00F0383E"/>
    <w:rsid w:val="00F24815"/>
    <w:rsid w:val="00F319E2"/>
    <w:rsid w:val="00F4392A"/>
    <w:rsid w:val="00F4741E"/>
    <w:rsid w:val="00F556B4"/>
    <w:rsid w:val="00F66624"/>
    <w:rsid w:val="00F7692C"/>
    <w:rsid w:val="00F818A9"/>
    <w:rsid w:val="00F907F8"/>
    <w:rsid w:val="00F90CAD"/>
    <w:rsid w:val="00FB1370"/>
    <w:rsid w:val="00FB6B06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CA6EB"/>
  <w15:chartTrackingRefBased/>
  <w15:docId w15:val="{8A8421D5-729C-4E4F-B959-A6B388C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5C"/>
  </w:style>
  <w:style w:type="paragraph" w:styleId="Footer">
    <w:name w:val="footer"/>
    <w:basedOn w:val="Normal"/>
    <w:link w:val="Foot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5C"/>
  </w:style>
  <w:style w:type="paragraph" w:styleId="BalloonText">
    <w:name w:val="Balloon Text"/>
    <w:basedOn w:val="Normal"/>
    <w:link w:val="BalloonTextChar"/>
    <w:uiPriority w:val="99"/>
    <w:semiHidden/>
    <w:unhideWhenUsed/>
    <w:rsid w:val="0029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00D7"/>
    <w:pPr>
      <w:spacing w:after="0" w:line="240" w:lineRule="auto"/>
    </w:pPr>
  </w:style>
  <w:style w:type="paragraph" w:customStyle="1" w:styleId="Default">
    <w:name w:val="Default"/>
    <w:rsid w:val="009B0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3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ologyonlin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International School of Houston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Finch</dc:creator>
  <cp:keywords/>
  <dc:description/>
  <cp:lastModifiedBy>Guto Jones</cp:lastModifiedBy>
  <cp:revision>3</cp:revision>
  <cp:lastPrinted>2018-08-20T13:16:00Z</cp:lastPrinted>
  <dcterms:created xsi:type="dcterms:W3CDTF">2018-08-17T20:28:00Z</dcterms:created>
  <dcterms:modified xsi:type="dcterms:W3CDTF">2018-08-21T17:51:00Z</dcterms:modified>
</cp:coreProperties>
</file>